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76DE8DDC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61A76FEA" w14:textId="77777777" w:rsidR="00F420DB" w:rsidRPr="00F420DB" w:rsidRDefault="00B453AF" w:rsidP="00F420DB">
      <w:pPr>
        <w:ind w:left="2127" w:firstLine="709"/>
        <w:rPr>
          <w:rFonts w:ascii="Arial" w:eastAsiaTheme="minorHAnsi" w:hAnsi="Arial" w:cs="Arial"/>
        </w:rPr>
      </w:pPr>
      <w:r w:rsidRPr="00F420DB">
        <w:rPr>
          <w:rFonts w:ascii="Arial" w:hAnsi="Arial" w:cs="Arial"/>
        </w:rPr>
        <w:t>pro</w:t>
      </w:r>
      <w:r w:rsidRPr="00F420DB">
        <w:rPr>
          <w:rFonts w:ascii="Arial" w:hAnsi="Arial" w:cs="Arial"/>
          <w:i/>
        </w:rPr>
        <w:t xml:space="preserve"> </w:t>
      </w:r>
      <w:r w:rsidRPr="00F420DB">
        <w:rPr>
          <w:rFonts w:ascii="Arial" w:hAnsi="Arial" w:cs="Arial"/>
        </w:rPr>
        <w:t>akci</w:t>
      </w:r>
      <w:r w:rsidRPr="00F420DB">
        <w:rPr>
          <w:rFonts w:ascii="Arial" w:hAnsi="Arial" w:cs="Arial"/>
          <w:i/>
        </w:rPr>
        <w:t>:</w:t>
      </w:r>
      <w:r w:rsidRPr="00F420DB">
        <w:rPr>
          <w:rFonts w:ascii="Arial" w:hAnsi="Arial" w:cs="Arial"/>
          <w:b/>
          <w:i/>
        </w:rPr>
        <w:t xml:space="preserve"> </w:t>
      </w:r>
      <w:r w:rsidR="00F420DB" w:rsidRPr="00F420DB">
        <w:rPr>
          <w:rFonts w:ascii="Arial" w:hAnsi="Arial" w:cs="Arial"/>
          <w:b/>
        </w:rPr>
        <w:t>II/360 – obchvat Velké Meziříčí, JV obchvat VM</w:t>
      </w:r>
    </w:p>
    <w:p w14:paraId="207D45FA" w14:textId="34AA74C1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31F48792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2E3BF5">
        <w:rPr>
          <w:rFonts w:ascii="Arial" w:eastAsia="MS Mincho" w:hAnsi="Arial" w:cs="Arial"/>
          <w:sz w:val="22"/>
        </w:rPr>
        <w:t>Ing. Martinem Kuklou</w:t>
      </w:r>
      <w:r w:rsidR="00D63DF3" w:rsidRPr="00D5014C">
        <w:rPr>
          <w:rFonts w:ascii="Arial" w:eastAsia="MS Mincho" w:hAnsi="Arial" w:cs="Arial"/>
          <w:sz w:val="22"/>
        </w:rPr>
        <w:t xml:space="preserve">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66FB5F66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2E3BF5" w:rsidRPr="00232593">
        <w:rPr>
          <w:rFonts w:ascii="Arial" w:eastAsia="MS Mincho" w:hAnsi="Arial" w:cs="Arial"/>
          <w:sz w:val="22"/>
        </w:rPr>
        <w:t xml:space="preserve">Ing. Vladimír Novotný, </w:t>
      </w:r>
      <w:r w:rsidR="00232593" w:rsidRPr="00232593">
        <w:rPr>
          <w:rFonts w:ascii="Arial" w:eastAsia="MS Mincho" w:hAnsi="Arial" w:cs="Arial"/>
          <w:sz w:val="22"/>
        </w:rPr>
        <w:t xml:space="preserve">2. </w:t>
      </w:r>
      <w:r w:rsidR="002E3BF5" w:rsidRPr="00232593">
        <w:rPr>
          <w:rFonts w:ascii="Arial" w:eastAsia="MS Mincho" w:hAnsi="Arial" w:cs="Arial"/>
          <w:sz w:val="22"/>
        </w:rPr>
        <w:t>náměstek hejtmana</w:t>
      </w:r>
    </w:p>
    <w:p w14:paraId="7BA49C17" w14:textId="2D8AB831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E642CB">
        <w:rPr>
          <w:rFonts w:ascii="Arial" w:eastAsia="MS Mincho" w:hAnsi="Arial" w:cs="Arial"/>
        </w:rPr>
        <w:t>Ing. Daniel Blaha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14:paraId="75051171" w14:textId="7E50605C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2638EB">
        <w:rPr>
          <w:rFonts w:ascii="Arial" w:hAnsi="Arial" w:cs="Arial"/>
        </w:rPr>
        <w:t>Česká národní banka</w:t>
      </w:r>
    </w:p>
    <w:p w14:paraId="5E7B1C40" w14:textId="0A47DF8E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2638EB">
        <w:rPr>
          <w:rFonts w:ascii="Arial" w:hAnsi="Arial" w:cs="Arial"/>
          <w:bCs/>
          <w:lang w:eastAsia="cs-CZ"/>
        </w:rPr>
        <w:t>2006-32925681/0710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FFB2C5B" w14:textId="0DB02543" w:rsidR="00BB08E9" w:rsidRPr="00150DFC" w:rsidRDefault="00D96E79" w:rsidP="00150DFC">
      <w:pPr>
        <w:pStyle w:val="Zkladntextodsazen21"/>
        <w:numPr>
          <w:ilvl w:val="1"/>
          <w:numId w:val="6"/>
        </w:numPr>
        <w:rPr>
          <w:rFonts w:ascii="Arial" w:hAnsi="Arial" w:cs="Arial"/>
          <w:spacing w:val="-4"/>
          <w:sz w:val="22"/>
        </w:rPr>
      </w:pPr>
      <w:r w:rsidRPr="00150DFC">
        <w:rPr>
          <w:rFonts w:ascii="Arial" w:hAnsi="Arial" w:cs="Arial"/>
          <w:spacing w:val="-4"/>
          <w:sz w:val="22"/>
        </w:rPr>
        <w:t>Předmětem</w:t>
      </w:r>
      <w:r w:rsidR="00AF208A" w:rsidRPr="00150DFC">
        <w:rPr>
          <w:rFonts w:ascii="Arial" w:hAnsi="Arial" w:cs="Arial"/>
          <w:spacing w:val="-4"/>
          <w:sz w:val="22"/>
        </w:rPr>
        <w:t xml:space="preserve"> smlouvy</w:t>
      </w:r>
      <w:r w:rsidRPr="00150DFC">
        <w:rPr>
          <w:rFonts w:ascii="Arial" w:hAnsi="Arial" w:cs="Arial"/>
          <w:spacing w:val="-4"/>
          <w:sz w:val="22"/>
        </w:rPr>
        <w:t xml:space="preserve"> </w:t>
      </w:r>
      <w:r w:rsidR="001D1E0E" w:rsidRPr="00150DFC">
        <w:rPr>
          <w:rFonts w:ascii="Arial" w:hAnsi="Arial" w:cs="Arial"/>
          <w:spacing w:val="-4"/>
          <w:sz w:val="22"/>
        </w:rPr>
        <w:t>je kompletní zhotovení stavby</w:t>
      </w:r>
      <w:r w:rsidR="00BB08E9" w:rsidRPr="00150DFC">
        <w:rPr>
          <w:rFonts w:ascii="Arial" w:hAnsi="Arial" w:cs="Arial"/>
          <w:spacing w:val="-4"/>
          <w:sz w:val="22"/>
        </w:rPr>
        <w:t xml:space="preserve"> </w:t>
      </w:r>
      <w:r w:rsidR="00F420DB" w:rsidRPr="00150DFC">
        <w:rPr>
          <w:rFonts w:ascii="Arial" w:hAnsi="Arial" w:cs="Arial"/>
          <w:spacing w:val="-4"/>
          <w:sz w:val="22"/>
        </w:rPr>
        <w:t>„II/360 – obchvat Velké Meziříčí, JV obchvat VM“.</w:t>
      </w:r>
      <w:r w:rsidR="00CF1F06" w:rsidRPr="00150DFC">
        <w:rPr>
          <w:rFonts w:ascii="Arial" w:hAnsi="Arial" w:cs="Arial"/>
          <w:spacing w:val="-4"/>
          <w:sz w:val="22"/>
        </w:rPr>
        <w:t xml:space="preserve"> </w:t>
      </w:r>
      <w:r w:rsidR="00BB08E9" w:rsidRPr="00150DFC">
        <w:rPr>
          <w:rFonts w:ascii="Arial" w:hAnsi="Arial" w:cs="Arial"/>
          <w:spacing w:val="-4"/>
          <w:sz w:val="22"/>
        </w:rPr>
        <w:t>Jedná se o novostavbu</w:t>
      </w:r>
      <w:r w:rsidR="00F420DB" w:rsidRPr="00150DFC">
        <w:rPr>
          <w:rFonts w:ascii="Arial" w:hAnsi="Arial" w:cs="Arial"/>
          <w:spacing w:val="-4"/>
          <w:sz w:val="22"/>
        </w:rPr>
        <w:t xml:space="preserve"> JV</w:t>
      </w:r>
      <w:r w:rsidR="00BB08E9" w:rsidRPr="00150DFC">
        <w:rPr>
          <w:rFonts w:ascii="Arial" w:hAnsi="Arial" w:cs="Arial"/>
          <w:spacing w:val="-4"/>
          <w:sz w:val="22"/>
        </w:rPr>
        <w:t xml:space="preserve"> obchvatu Velkého Meziříčí.</w:t>
      </w:r>
    </w:p>
    <w:p w14:paraId="3632B73E" w14:textId="05BA9ECD" w:rsidR="00BB08E9" w:rsidRDefault="00BB08E9" w:rsidP="00BB08E9">
      <w:pPr>
        <w:spacing w:line="264" w:lineRule="auto"/>
        <w:jc w:val="both"/>
        <w:rPr>
          <w:rFonts w:ascii="Arial" w:eastAsia="MS Mincho" w:hAnsi="Arial" w:cs="Arial"/>
          <w:spacing w:val="-6"/>
        </w:rPr>
      </w:pPr>
    </w:p>
    <w:p w14:paraId="44A4BC3A" w14:textId="77777777" w:rsidR="00101FD6" w:rsidRDefault="00101FD6" w:rsidP="00BB08E9">
      <w:pPr>
        <w:spacing w:line="264" w:lineRule="auto"/>
        <w:rPr>
          <w:rFonts w:ascii="Arial" w:eastAsia="MS Mincho" w:hAnsi="Arial" w:cs="Arial"/>
          <w:spacing w:val="-6"/>
        </w:rPr>
      </w:pPr>
    </w:p>
    <w:p w14:paraId="0B405B76" w14:textId="77777777" w:rsidR="00101FD6" w:rsidRDefault="00101FD6" w:rsidP="00BB08E9">
      <w:pPr>
        <w:spacing w:line="264" w:lineRule="auto"/>
        <w:rPr>
          <w:rFonts w:ascii="Arial" w:eastAsia="MS Mincho" w:hAnsi="Arial" w:cs="Arial"/>
          <w:spacing w:val="-6"/>
        </w:rPr>
      </w:pPr>
    </w:p>
    <w:p w14:paraId="2B5D225F" w14:textId="77777777" w:rsidR="00713F7F" w:rsidRDefault="00713F7F" w:rsidP="00BB08E9">
      <w:pPr>
        <w:spacing w:line="264" w:lineRule="auto"/>
        <w:rPr>
          <w:rFonts w:ascii="Arial" w:eastAsia="MS Mincho" w:hAnsi="Arial" w:cs="Arial"/>
          <w:spacing w:val="-6"/>
        </w:rPr>
      </w:pPr>
    </w:p>
    <w:p w14:paraId="19026A82" w14:textId="59945A68" w:rsidR="00BB08E9" w:rsidRPr="0003210B" w:rsidRDefault="00BB08E9" w:rsidP="00BB08E9">
      <w:pPr>
        <w:spacing w:line="264" w:lineRule="auto"/>
        <w:rPr>
          <w:rFonts w:ascii="Arial" w:eastAsia="MS Mincho" w:hAnsi="Arial" w:cs="Arial"/>
          <w:spacing w:val="-6"/>
        </w:rPr>
      </w:pPr>
      <w:r w:rsidRPr="0003210B">
        <w:rPr>
          <w:rFonts w:ascii="Arial" w:eastAsia="MS Mincho" w:hAnsi="Arial" w:cs="Arial"/>
          <w:spacing w:val="-6"/>
        </w:rPr>
        <w:t>Stavba se skládá ze dvou částí (tak je i členěna PDPS a výkaz výměr):</w:t>
      </w:r>
    </w:p>
    <w:p w14:paraId="0CBCBDD1" w14:textId="77777777" w:rsidR="00BB08E9" w:rsidRPr="0003210B" w:rsidRDefault="00BB08E9" w:rsidP="00BB08E9">
      <w:pPr>
        <w:spacing w:line="264" w:lineRule="auto"/>
        <w:rPr>
          <w:rFonts w:ascii="Arial" w:eastAsia="MS Mincho" w:hAnsi="Arial" w:cs="Arial"/>
          <w:spacing w:val="-6"/>
        </w:rPr>
      </w:pPr>
      <w:r w:rsidRPr="0003210B">
        <w:rPr>
          <w:rFonts w:ascii="Arial" w:eastAsia="MS Mincho" w:hAnsi="Arial" w:cs="Arial"/>
          <w:spacing w:val="-6"/>
        </w:rPr>
        <w:t>II/360Velké Meziříčí – JV obchvat, 1. část</w:t>
      </w:r>
    </w:p>
    <w:p w14:paraId="3FCAC46E" w14:textId="19D05FBE" w:rsidR="00BB08E9" w:rsidRDefault="00BB08E9" w:rsidP="00BB08E9">
      <w:pPr>
        <w:spacing w:line="264" w:lineRule="auto"/>
        <w:rPr>
          <w:rFonts w:ascii="Arial" w:eastAsia="MS Mincho" w:hAnsi="Arial" w:cs="Arial"/>
          <w:spacing w:val="-6"/>
        </w:rPr>
      </w:pPr>
      <w:r w:rsidRPr="0003210B">
        <w:rPr>
          <w:rFonts w:ascii="Arial" w:eastAsia="MS Mincho" w:hAnsi="Arial" w:cs="Arial"/>
          <w:spacing w:val="-6"/>
        </w:rPr>
        <w:t>II/360Velké Meziříčí – JV obchvat, 2. část</w:t>
      </w:r>
    </w:p>
    <w:p w14:paraId="636AE4E7" w14:textId="0FC699D8" w:rsidR="00BB08E9" w:rsidRDefault="00BB08E9" w:rsidP="00BB08E9">
      <w:pPr>
        <w:spacing w:line="264" w:lineRule="auto"/>
        <w:jc w:val="both"/>
        <w:rPr>
          <w:rFonts w:ascii="Arial" w:eastAsia="MS Mincho" w:hAnsi="Arial" w:cs="Arial"/>
          <w:spacing w:val="-6"/>
        </w:rPr>
      </w:pPr>
    </w:p>
    <w:p w14:paraId="5BD568C1" w14:textId="77777777" w:rsidR="00BB08E9" w:rsidRPr="0003210B" w:rsidRDefault="00BB08E9" w:rsidP="00BB08E9">
      <w:pPr>
        <w:pStyle w:val="Zkladntextodsazen21"/>
        <w:ind w:left="0" w:firstLine="0"/>
        <w:rPr>
          <w:rFonts w:ascii="Arial" w:hAnsi="Arial" w:cs="Arial"/>
          <w:sz w:val="22"/>
        </w:rPr>
      </w:pPr>
      <w:r w:rsidRPr="0003210B">
        <w:rPr>
          <w:rFonts w:ascii="Arial" w:hAnsi="Arial" w:cs="Arial"/>
          <w:sz w:val="22"/>
        </w:rPr>
        <w:t xml:space="preserve">Stavba bude realizována dle projektové dokumentace: </w:t>
      </w:r>
    </w:p>
    <w:p w14:paraId="2520AD20" w14:textId="77777777" w:rsidR="00BB08E9" w:rsidRPr="0003210B" w:rsidRDefault="00BB08E9" w:rsidP="00BB08E9">
      <w:pPr>
        <w:pStyle w:val="Odstavecseseznamem"/>
        <w:numPr>
          <w:ilvl w:val="0"/>
          <w:numId w:val="48"/>
        </w:numPr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Arial" w:eastAsia="MS Mincho" w:hAnsi="Arial" w:cs="Arial"/>
          <w:spacing w:val="-6"/>
        </w:rPr>
      </w:pPr>
      <w:r w:rsidRPr="0003210B">
        <w:rPr>
          <w:rFonts w:ascii="Arial" w:eastAsia="MS Mincho" w:hAnsi="Arial" w:cs="Arial"/>
          <w:b/>
          <w:spacing w:val="-6"/>
        </w:rPr>
        <w:t>II/360 Velké Meziříčí – JV obchvat, 1. část</w:t>
      </w:r>
      <w:r w:rsidRPr="0003210B">
        <w:rPr>
          <w:rFonts w:ascii="Arial" w:eastAsia="MS Mincho" w:hAnsi="Arial" w:cs="Arial"/>
          <w:spacing w:val="-6"/>
        </w:rPr>
        <w:t>, vypracované ve stupni PDPS Společností „SHP + SHB – Velké Meziříčí“, Stráský, Hustý a partneři s.r.o., Bohunická 133/50, 619 00 Brno v srpnu 2025</w:t>
      </w:r>
    </w:p>
    <w:p w14:paraId="719E6583" w14:textId="77777777" w:rsidR="00BB08E9" w:rsidRPr="0003210B" w:rsidRDefault="00BB08E9" w:rsidP="00BB08E9">
      <w:pPr>
        <w:pStyle w:val="Odstavecseseznamem"/>
        <w:spacing w:line="264" w:lineRule="auto"/>
        <w:ind w:left="720"/>
        <w:jc w:val="both"/>
        <w:rPr>
          <w:rFonts w:ascii="Arial" w:eastAsia="MS Mincho" w:hAnsi="Arial" w:cs="Arial"/>
          <w:spacing w:val="-6"/>
        </w:rPr>
      </w:pPr>
    </w:p>
    <w:p w14:paraId="64A937F7" w14:textId="77777777" w:rsidR="00BB08E9" w:rsidRPr="00AF5B85" w:rsidRDefault="00BB08E9" w:rsidP="00BB08E9">
      <w:pPr>
        <w:pStyle w:val="Odstavecseseznamem"/>
        <w:numPr>
          <w:ilvl w:val="0"/>
          <w:numId w:val="48"/>
        </w:numPr>
        <w:overflowPunct w:val="0"/>
        <w:autoSpaceDE w:val="0"/>
        <w:autoSpaceDN w:val="0"/>
        <w:adjustRightInd w:val="0"/>
        <w:spacing w:line="264" w:lineRule="auto"/>
        <w:ind w:left="284" w:hanging="284"/>
        <w:jc w:val="both"/>
        <w:textAlignment w:val="baseline"/>
        <w:rPr>
          <w:rFonts w:ascii="Arial" w:eastAsia="MS Mincho" w:hAnsi="Arial" w:cs="Arial"/>
          <w:spacing w:val="-6"/>
        </w:rPr>
      </w:pPr>
      <w:r w:rsidRPr="0003210B">
        <w:rPr>
          <w:rFonts w:ascii="Arial" w:eastAsia="MS Mincho" w:hAnsi="Arial" w:cs="Arial"/>
          <w:b/>
          <w:spacing w:val="-6"/>
        </w:rPr>
        <w:t>II/360 Velké Meziříčí – JV obchvat, 2. část</w:t>
      </w:r>
      <w:r w:rsidRPr="00BB08E9">
        <w:rPr>
          <w:rFonts w:ascii="Arial" w:eastAsia="MS Mincho" w:hAnsi="Arial" w:cs="Arial"/>
          <w:b/>
          <w:spacing w:val="-6"/>
        </w:rPr>
        <w:t xml:space="preserve">, </w:t>
      </w:r>
      <w:r w:rsidRPr="00AF5B85">
        <w:rPr>
          <w:rFonts w:ascii="Arial" w:eastAsia="MS Mincho" w:hAnsi="Arial" w:cs="Arial"/>
          <w:spacing w:val="-6"/>
        </w:rPr>
        <w:t>vypracované ve stupni PDPS Společností „SHP + SHB – Velké Meziříčí“, Stráský, Hustý a partneři s.r.o., Bohunická 133/50, 619 00 Brno v listopadu 2023</w:t>
      </w:r>
    </w:p>
    <w:p w14:paraId="51089BA1" w14:textId="77777777" w:rsidR="00BB08E9" w:rsidRPr="00AF5B85" w:rsidRDefault="00BB08E9" w:rsidP="00BB08E9">
      <w:pPr>
        <w:spacing w:line="264" w:lineRule="auto"/>
        <w:jc w:val="both"/>
        <w:rPr>
          <w:rFonts w:ascii="Arial" w:eastAsia="MS Mincho" w:hAnsi="Arial" w:cs="Arial"/>
          <w:spacing w:val="-6"/>
        </w:rPr>
      </w:pPr>
    </w:p>
    <w:p w14:paraId="69ED9DC2" w14:textId="560C956F" w:rsidR="00432F74" w:rsidRDefault="00432F74" w:rsidP="00A0189F">
      <w:pPr>
        <w:pStyle w:val="Nzev"/>
        <w:jc w:val="both"/>
        <w:rPr>
          <w:rFonts w:ascii="Arial" w:hAnsi="Arial" w:cs="Arial"/>
          <w:spacing w:val="-2"/>
          <w:sz w:val="22"/>
        </w:rPr>
      </w:pPr>
      <w:r w:rsidRPr="00A0189F">
        <w:rPr>
          <w:rFonts w:ascii="Arial" w:hAnsi="Arial" w:cs="Arial"/>
          <w:b w:val="0"/>
          <w:spacing w:val="-2"/>
          <w:sz w:val="22"/>
        </w:rPr>
        <w:t>Součástí stavby jsou i dopravně inženýrská opatření, zajištění p</w:t>
      </w:r>
      <w:r w:rsidR="00891A0D" w:rsidRPr="00A0189F">
        <w:rPr>
          <w:rFonts w:ascii="Arial" w:hAnsi="Arial" w:cs="Arial"/>
          <w:b w:val="0"/>
          <w:spacing w:val="-2"/>
          <w:sz w:val="22"/>
        </w:rPr>
        <w:t>ovolení uzavírek</w:t>
      </w:r>
      <w:r w:rsidR="00A0189F">
        <w:rPr>
          <w:rFonts w:ascii="Arial" w:hAnsi="Arial" w:cs="Arial"/>
          <w:b w:val="0"/>
          <w:spacing w:val="-2"/>
          <w:sz w:val="22"/>
          <w:lang w:val="cs-CZ"/>
        </w:rPr>
        <w:t xml:space="preserve"> </w:t>
      </w:r>
      <w:r w:rsidR="00A0189F" w:rsidRPr="00A0189F">
        <w:rPr>
          <w:rFonts w:ascii="Arial" w:hAnsi="Arial" w:cs="Arial"/>
          <w:b w:val="0"/>
          <w:sz w:val="22"/>
          <w:szCs w:val="22"/>
        </w:rPr>
        <w:t>projednání a vydání (příslušným silničním úřadem) stanovení přechodného dopravního značení a rozhodnutí o povolení uzavíre</w:t>
      </w:r>
      <w:r w:rsidR="00A0189F">
        <w:rPr>
          <w:rFonts w:ascii="Arial" w:hAnsi="Arial" w:cs="Arial"/>
          <w:b w:val="0"/>
          <w:sz w:val="22"/>
          <w:szCs w:val="22"/>
        </w:rPr>
        <w:t>k nutných pro realizaci stavby</w:t>
      </w:r>
      <w:r w:rsidR="00A0189F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Pr="00A0189F">
        <w:rPr>
          <w:rFonts w:ascii="Arial" w:hAnsi="Arial" w:cs="Arial"/>
          <w:b w:val="0"/>
          <w:spacing w:val="-2"/>
          <w:sz w:val="22"/>
        </w:rPr>
        <w:t xml:space="preserve">a </w:t>
      </w:r>
      <w:r w:rsidR="00891A0D" w:rsidRPr="00A0189F">
        <w:rPr>
          <w:rFonts w:ascii="Arial" w:hAnsi="Arial" w:cs="Arial"/>
          <w:b w:val="0"/>
          <w:spacing w:val="-2"/>
          <w:sz w:val="22"/>
        </w:rPr>
        <w:t>definitivní dopravní značení</w:t>
      </w:r>
      <w:r w:rsidRPr="00A0189F">
        <w:rPr>
          <w:rFonts w:ascii="Arial" w:hAnsi="Arial" w:cs="Arial"/>
          <w:b w:val="0"/>
          <w:spacing w:val="-2"/>
          <w:sz w:val="22"/>
        </w:rPr>
        <w:t>.</w:t>
      </w:r>
      <w:r w:rsidR="00A0189F" w:rsidRPr="00A0189F">
        <w:rPr>
          <w:rFonts w:ascii="Arial" w:hAnsi="Arial" w:cs="Arial"/>
          <w:b w:val="0"/>
          <w:spacing w:val="-2"/>
          <w:sz w:val="22"/>
        </w:rPr>
        <w:t xml:space="preserve"> </w:t>
      </w:r>
    </w:p>
    <w:p w14:paraId="70C3763F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69B792A0" w:rsidR="00432F74" w:rsidRPr="00E0783F" w:rsidRDefault="001C5C21" w:rsidP="007F3FC2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486DA6DA" w14:textId="09FE07EB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8842FF3" w14:textId="14E7E20C" w:rsidR="00891A0D" w:rsidRPr="0003210B" w:rsidRDefault="00891A0D" w:rsidP="00891A0D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P</w:t>
      </w:r>
      <w:proofErr w:type="spellStart"/>
      <w:r>
        <w:rPr>
          <w:rFonts w:ascii="Arial" w:hAnsi="Arial" w:cs="Arial"/>
          <w:b w:val="0"/>
          <w:sz w:val="22"/>
          <w:szCs w:val="22"/>
        </w:rPr>
        <w:t>okládk</w:t>
      </w:r>
      <w:r>
        <w:rPr>
          <w:rFonts w:ascii="Arial" w:hAnsi="Arial" w:cs="Arial"/>
          <w:b w:val="0"/>
          <w:sz w:val="22"/>
          <w:szCs w:val="22"/>
          <w:lang w:val="cs-CZ"/>
        </w:rPr>
        <w:t>a</w:t>
      </w:r>
      <w:proofErr w:type="spellEnd"/>
      <w:r w:rsidRPr="0003210B">
        <w:rPr>
          <w:rFonts w:ascii="Arial" w:hAnsi="Arial" w:cs="Arial"/>
          <w:b w:val="0"/>
          <w:sz w:val="22"/>
          <w:szCs w:val="22"/>
        </w:rPr>
        <w:t xml:space="preserve"> </w:t>
      </w:r>
      <w:r w:rsidRPr="005D42FF">
        <w:rPr>
          <w:rFonts w:ascii="Arial" w:hAnsi="Arial" w:cs="Arial"/>
          <w:b w:val="0"/>
          <w:sz w:val="22"/>
          <w:szCs w:val="22"/>
        </w:rPr>
        <w:t>obrusné</w:t>
      </w:r>
      <w:r w:rsidRPr="0003210B">
        <w:rPr>
          <w:rFonts w:ascii="Arial" w:hAnsi="Arial" w:cs="Arial"/>
          <w:b w:val="0"/>
          <w:sz w:val="22"/>
          <w:szCs w:val="22"/>
        </w:rPr>
        <w:t xml:space="preserve"> asfaltobetonové vrstvy vozovky na v</w:t>
      </w:r>
      <w:r>
        <w:rPr>
          <w:rFonts w:ascii="Arial" w:hAnsi="Arial" w:cs="Arial"/>
          <w:b w:val="0"/>
          <w:sz w:val="22"/>
          <w:szCs w:val="22"/>
        </w:rPr>
        <w:t xml:space="preserve">šech úsecích </w:t>
      </w:r>
      <w:r>
        <w:rPr>
          <w:rFonts w:ascii="Arial" w:hAnsi="Arial" w:cs="Arial"/>
          <w:b w:val="0"/>
          <w:sz w:val="22"/>
          <w:szCs w:val="22"/>
          <w:lang w:val="cs-CZ"/>
        </w:rPr>
        <w:t xml:space="preserve">bude </w:t>
      </w:r>
      <w:r>
        <w:rPr>
          <w:rFonts w:ascii="Arial" w:hAnsi="Arial" w:cs="Arial"/>
          <w:b w:val="0"/>
          <w:sz w:val="22"/>
          <w:szCs w:val="22"/>
        </w:rPr>
        <w:t>proveden</w:t>
      </w:r>
      <w:r>
        <w:rPr>
          <w:rFonts w:ascii="Arial" w:hAnsi="Arial" w:cs="Arial"/>
          <w:b w:val="0"/>
          <w:sz w:val="22"/>
          <w:szCs w:val="22"/>
          <w:lang w:val="cs-CZ"/>
        </w:rPr>
        <w:t>a</w:t>
      </w:r>
      <w:r w:rsidRPr="0003210B">
        <w:rPr>
          <w:rFonts w:ascii="Arial" w:hAnsi="Arial" w:cs="Arial"/>
          <w:b w:val="0"/>
          <w:sz w:val="22"/>
          <w:szCs w:val="22"/>
        </w:rPr>
        <w:t xml:space="preserve"> bez pracovní spáry s vyloučením veškeré dopravy. </w:t>
      </w:r>
    </w:p>
    <w:p w14:paraId="74CBEAE8" w14:textId="5BD03698" w:rsidR="00240211" w:rsidRDefault="00240211" w:rsidP="003C1A14">
      <w:pPr>
        <w:spacing w:line="264" w:lineRule="auto"/>
        <w:jc w:val="both"/>
        <w:rPr>
          <w:rFonts w:ascii="Arial" w:hAnsi="Arial" w:cs="Arial"/>
        </w:rPr>
      </w:pPr>
    </w:p>
    <w:p w14:paraId="457B49DB" w14:textId="476D2FE8" w:rsidR="00071632" w:rsidRDefault="00071632" w:rsidP="00071632">
      <w:pPr>
        <w:jc w:val="both"/>
        <w:rPr>
          <w:rFonts w:ascii="Arial" w:hAnsi="Arial" w:cs="Arial"/>
        </w:rPr>
      </w:pPr>
      <w:r w:rsidRPr="005D42FF">
        <w:rPr>
          <w:rFonts w:ascii="Arial" w:hAnsi="Arial" w:cs="Arial"/>
        </w:rPr>
        <w:t xml:space="preserve">Zhotovitel je povinen pro předávání dokumentů využívat Společné datové prostředí (dále též „CDE“) </w:t>
      </w:r>
      <w:r w:rsidR="006B39A9" w:rsidRPr="005D42FF">
        <w:rPr>
          <w:rFonts w:ascii="Arial" w:hAnsi="Arial" w:cs="Arial"/>
        </w:rPr>
        <w:t>objednatele</w:t>
      </w:r>
      <w:r w:rsidRPr="005D42FF">
        <w:rPr>
          <w:rFonts w:ascii="Arial" w:hAnsi="Arial" w:cs="Arial"/>
        </w:rPr>
        <w:t>.</w:t>
      </w:r>
    </w:p>
    <w:p w14:paraId="42D3C307" w14:textId="7CEBE45E" w:rsidR="004B6840" w:rsidRDefault="004B6840" w:rsidP="00071632">
      <w:pPr>
        <w:jc w:val="both"/>
        <w:rPr>
          <w:rFonts w:ascii="Arial" w:hAnsi="Arial" w:cs="Arial"/>
        </w:rPr>
      </w:pPr>
    </w:p>
    <w:p w14:paraId="090A6464" w14:textId="17CA4E0F" w:rsidR="00CB362E" w:rsidRPr="0003210B" w:rsidRDefault="00CB362E" w:rsidP="00CB362E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Zhotovitel</w:t>
      </w:r>
      <w:r w:rsidRPr="001955B2">
        <w:rPr>
          <w:rFonts w:ascii="Arial" w:hAnsi="Arial" w:cs="Arial"/>
          <w:b w:val="0"/>
          <w:sz w:val="22"/>
          <w:szCs w:val="22"/>
        </w:rPr>
        <w:t xml:space="preserve"> zajistí po dohodě s uživateli zemědělských pozemků vytýčení dočasného i trvalého záboru před zahájením jarních osevů pro rok 2026 a to do 15. 3. 2026.</w:t>
      </w:r>
    </w:p>
    <w:p w14:paraId="3A2B2C41" w14:textId="77777777" w:rsidR="00CB362E" w:rsidRDefault="00CB362E" w:rsidP="00071632">
      <w:pPr>
        <w:jc w:val="both"/>
        <w:rPr>
          <w:rFonts w:ascii="Arial" w:hAnsi="Arial" w:cs="Arial"/>
        </w:rPr>
      </w:pPr>
    </w:p>
    <w:p w14:paraId="73755891" w14:textId="0E5FDA9A" w:rsidR="004B6840" w:rsidRPr="0003210B" w:rsidRDefault="004B6840" w:rsidP="004B6840">
      <w:pPr>
        <w:pStyle w:val="Nzev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Z</w:t>
      </w:r>
      <w:r w:rsidRPr="0003210B">
        <w:rPr>
          <w:rFonts w:ascii="Arial" w:hAnsi="Arial" w:cs="Arial"/>
          <w:b w:val="0"/>
          <w:sz w:val="22"/>
          <w:szCs w:val="22"/>
        </w:rPr>
        <w:t>hot</w:t>
      </w:r>
      <w:r>
        <w:rPr>
          <w:rFonts w:ascii="Arial" w:hAnsi="Arial" w:cs="Arial"/>
          <w:b w:val="0"/>
          <w:sz w:val="22"/>
          <w:szCs w:val="22"/>
        </w:rPr>
        <w:t>ovitel zajistí splnění podmínek (jsou zahrnuty v projektové dokumentaci nebo v podmínkách stavebního povolení):</w:t>
      </w:r>
    </w:p>
    <w:p w14:paraId="77D3A9A9" w14:textId="77777777" w:rsidR="004B6840" w:rsidRPr="0003210B" w:rsidRDefault="004B6840" w:rsidP="004B6840">
      <w:pPr>
        <w:pStyle w:val="Nzev"/>
        <w:numPr>
          <w:ilvl w:val="0"/>
          <w:numId w:val="48"/>
        </w:numPr>
        <w:jc w:val="both"/>
        <w:rPr>
          <w:rFonts w:ascii="Arial" w:hAnsi="Arial" w:cs="Arial"/>
          <w:b w:val="0"/>
          <w:sz w:val="22"/>
          <w:szCs w:val="22"/>
        </w:rPr>
      </w:pPr>
      <w:r w:rsidRPr="0003210B">
        <w:rPr>
          <w:rFonts w:ascii="Arial" w:hAnsi="Arial" w:cs="Arial"/>
          <w:b w:val="0"/>
          <w:sz w:val="22"/>
          <w:szCs w:val="22"/>
        </w:rPr>
        <w:t xml:space="preserve"> společnosti CONNEM s.r.o. a p. </w:t>
      </w:r>
      <w:proofErr w:type="spellStart"/>
      <w:r w:rsidRPr="0003210B">
        <w:rPr>
          <w:rFonts w:ascii="Arial" w:hAnsi="Arial" w:cs="Arial"/>
          <w:b w:val="0"/>
          <w:sz w:val="22"/>
          <w:szCs w:val="22"/>
        </w:rPr>
        <w:t>Čamka</w:t>
      </w:r>
      <w:proofErr w:type="spellEnd"/>
      <w:r w:rsidRPr="0003210B">
        <w:rPr>
          <w:rFonts w:ascii="Arial" w:hAnsi="Arial" w:cs="Arial"/>
          <w:b w:val="0"/>
          <w:sz w:val="22"/>
          <w:szCs w:val="22"/>
        </w:rPr>
        <w:t xml:space="preserve"> ohledně příjezdu k objektu haly a show </w:t>
      </w:r>
      <w:proofErr w:type="spellStart"/>
      <w:r w:rsidRPr="0003210B">
        <w:rPr>
          <w:rFonts w:ascii="Arial" w:hAnsi="Arial" w:cs="Arial"/>
          <w:b w:val="0"/>
          <w:sz w:val="22"/>
          <w:szCs w:val="22"/>
        </w:rPr>
        <w:t>roomu</w:t>
      </w:r>
      <w:proofErr w:type="spellEnd"/>
      <w:r w:rsidRPr="0003210B">
        <w:rPr>
          <w:rFonts w:ascii="Arial" w:hAnsi="Arial" w:cs="Arial"/>
          <w:b w:val="0"/>
          <w:sz w:val="22"/>
          <w:szCs w:val="22"/>
        </w:rPr>
        <w:t xml:space="preserve"> po dobu výstavby obchvatu</w:t>
      </w:r>
    </w:p>
    <w:p w14:paraId="0E20A352" w14:textId="77777777" w:rsidR="004B6840" w:rsidRPr="0003210B" w:rsidRDefault="004B6840" w:rsidP="004B6840">
      <w:pPr>
        <w:pStyle w:val="Nzev"/>
        <w:numPr>
          <w:ilvl w:val="0"/>
          <w:numId w:val="48"/>
        </w:numPr>
        <w:jc w:val="both"/>
        <w:rPr>
          <w:rFonts w:ascii="Arial" w:hAnsi="Arial" w:cs="Arial"/>
          <w:b w:val="0"/>
          <w:sz w:val="22"/>
          <w:szCs w:val="22"/>
        </w:rPr>
      </w:pPr>
      <w:r w:rsidRPr="0003210B">
        <w:rPr>
          <w:rFonts w:ascii="Arial" w:hAnsi="Arial" w:cs="Arial"/>
          <w:b w:val="0"/>
          <w:sz w:val="22"/>
          <w:szCs w:val="22"/>
        </w:rPr>
        <w:t>Firmy KBB a p. Malce ohledně výstavby mostu SO 201</w:t>
      </w:r>
    </w:p>
    <w:p w14:paraId="15263C0F" w14:textId="77777777" w:rsidR="004B6840" w:rsidRPr="0003210B" w:rsidRDefault="004B6840" w:rsidP="004B6840">
      <w:pPr>
        <w:pStyle w:val="Nzev"/>
        <w:numPr>
          <w:ilvl w:val="0"/>
          <w:numId w:val="48"/>
        </w:numPr>
        <w:jc w:val="both"/>
        <w:rPr>
          <w:rFonts w:ascii="Arial" w:hAnsi="Arial" w:cs="Arial"/>
          <w:b w:val="0"/>
          <w:sz w:val="22"/>
          <w:szCs w:val="22"/>
        </w:rPr>
      </w:pPr>
      <w:r w:rsidRPr="0003210B">
        <w:rPr>
          <w:rFonts w:ascii="Arial" w:hAnsi="Arial" w:cs="Arial"/>
          <w:b w:val="0"/>
          <w:sz w:val="22"/>
          <w:szCs w:val="22"/>
        </w:rPr>
        <w:t>Paní Tomanové – zachování studny a vybudování vodovodní přípojky</w:t>
      </w:r>
    </w:p>
    <w:p w14:paraId="76DAD8EC" w14:textId="77777777" w:rsidR="004B6840" w:rsidRPr="0003210B" w:rsidRDefault="004B6840" w:rsidP="004B6840">
      <w:pPr>
        <w:pStyle w:val="Nzev"/>
        <w:numPr>
          <w:ilvl w:val="0"/>
          <w:numId w:val="48"/>
        </w:numPr>
        <w:jc w:val="both"/>
        <w:rPr>
          <w:rFonts w:ascii="Arial" w:hAnsi="Arial" w:cs="Arial"/>
          <w:b w:val="0"/>
          <w:sz w:val="22"/>
          <w:szCs w:val="22"/>
        </w:rPr>
      </w:pPr>
      <w:r w:rsidRPr="0003210B">
        <w:rPr>
          <w:rFonts w:ascii="Arial" w:hAnsi="Arial" w:cs="Arial"/>
          <w:b w:val="0"/>
          <w:sz w:val="22"/>
          <w:szCs w:val="22"/>
        </w:rPr>
        <w:t>Zajištění příjezdu do betonárky TBG PKS Velké Meziříčí</w:t>
      </w:r>
    </w:p>
    <w:p w14:paraId="57E8CF61" w14:textId="77777777"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6C18A6ED" w14:textId="77777777" w:rsidR="00185D51" w:rsidRDefault="00185D51" w:rsidP="00F27507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</w:p>
    <w:p w14:paraId="725C606D" w14:textId="1CFB3478" w:rsidR="00F27507" w:rsidRPr="0003210B" w:rsidRDefault="00F27507" w:rsidP="00F27507">
      <w:pPr>
        <w:suppressAutoHyphens/>
        <w:spacing w:line="264" w:lineRule="auto"/>
        <w:jc w:val="both"/>
        <w:rPr>
          <w:rFonts w:ascii="Arial" w:eastAsia="MS Mincho" w:hAnsi="Arial" w:cs="Arial"/>
          <w:b/>
          <w:spacing w:val="-6"/>
        </w:rPr>
      </w:pPr>
      <w:r w:rsidRPr="0003210B">
        <w:rPr>
          <w:rFonts w:ascii="Arial" w:hAnsi="Arial" w:cs="Arial"/>
          <w:b/>
          <w:szCs w:val="20"/>
          <w:lang w:eastAsia="ar-SA"/>
        </w:rPr>
        <w:t xml:space="preserve">Členění na stavební objekty, část </w:t>
      </w:r>
      <w:r w:rsidRPr="0003210B">
        <w:rPr>
          <w:rFonts w:ascii="Arial" w:eastAsia="MS Mincho" w:hAnsi="Arial" w:cs="Arial"/>
          <w:b/>
        </w:rPr>
        <w:t xml:space="preserve">stavby: </w:t>
      </w:r>
      <w:r w:rsidRPr="0003210B">
        <w:rPr>
          <w:rFonts w:ascii="Arial" w:eastAsia="MS Mincho" w:hAnsi="Arial" w:cs="Arial"/>
          <w:b/>
          <w:spacing w:val="-6"/>
        </w:rPr>
        <w:t>II/360 Velké Meziříčí – JV obchvat, 1. část</w:t>
      </w:r>
    </w:p>
    <w:p w14:paraId="5CEC1AE6" w14:textId="77777777" w:rsidR="00F27507" w:rsidRPr="0003210B" w:rsidRDefault="00F27507" w:rsidP="00F27507">
      <w:pPr>
        <w:ind w:left="709" w:hanging="709"/>
        <w:jc w:val="both"/>
        <w:rPr>
          <w:rFonts w:cs="Arial"/>
        </w:rPr>
      </w:pPr>
    </w:p>
    <w:p w14:paraId="68D0D992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000 – Vedlejší a ostatní náklady</w:t>
      </w:r>
    </w:p>
    <w:p w14:paraId="2F37A516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001 – Příprava území</w:t>
      </w:r>
    </w:p>
    <w:p w14:paraId="04C4F7D1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002 – Technická rekultivace</w:t>
      </w:r>
    </w:p>
    <w:p w14:paraId="1363B098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003 – Demolice objektu </w:t>
      </w:r>
      <w:proofErr w:type="spellStart"/>
      <w:r w:rsidRPr="00CF1F06">
        <w:rPr>
          <w:rFonts w:ascii="Arial" w:hAnsi="Arial" w:cs="Arial"/>
        </w:rPr>
        <w:t>Kovotvar</w:t>
      </w:r>
      <w:proofErr w:type="spellEnd"/>
    </w:p>
    <w:p w14:paraId="727A7C60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004 – Demolice garáží</w:t>
      </w:r>
    </w:p>
    <w:p w14:paraId="600261D0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566F5AFA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101 – Silnice II/360 </w:t>
      </w:r>
    </w:p>
    <w:p w14:paraId="343ED739" w14:textId="77777777" w:rsidR="008730A0" w:rsidRDefault="008730A0" w:rsidP="00F27507">
      <w:pPr>
        <w:ind w:left="709" w:hanging="709"/>
        <w:jc w:val="both"/>
        <w:rPr>
          <w:rFonts w:ascii="Arial" w:hAnsi="Arial" w:cs="Arial"/>
        </w:rPr>
      </w:pPr>
    </w:p>
    <w:p w14:paraId="090210AD" w14:textId="48D526D0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102 – Úprava stávající silnice II/360</w:t>
      </w:r>
    </w:p>
    <w:p w14:paraId="25733ACD" w14:textId="77777777" w:rsidR="00583DE2" w:rsidRPr="00CF1F06" w:rsidRDefault="00583DE2" w:rsidP="00F27507">
      <w:pPr>
        <w:ind w:left="709" w:hanging="709"/>
        <w:jc w:val="both"/>
        <w:rPr>
          <w:rFonts w:ascii="Arial" w:hAnsi="Arial" w:cs="Arial"/>
        </w:rPr>
      </w:pPr>
    </w:p>
    <w:p w14:paraId="2F4666E2" w14:textId="2326E02F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103 – Přeložka polní cesty v km 0,404</w:t>
      </w:r>
    </w:p>
    <w:p w14:paraId="37849700" w14:textId="77777777" w:rsidR="00185D51" w:rsidRDefault="00185D51" w:rsidP="00F27507">
      <w:pPr>
        <w:ind w:left="709" w:hanging="709"/>
        <w:jc w:val="both"/>
        <w:rPr>
          <w:rFonts w:ascii="Arial" w:hAnsi="Arial" w:cs="Arial"/>
        </w:rPr>
      </w:pPr>
    </w:p>
    <w:p w14:paraId="3AE5C21F" w14:textId="3422D650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104 – Napojení MK v km 1.109</w:t>
      </w:r>
    </w:p>
    <w:p w14:paraId="1B54E6D2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106 – Dopravní značení</w:t>
      </w:r>
    </w:p>
    <w:p w14:paraId="2327CBAD" w14:textId="77777777" w:rsidR="00F27507" w:rsidRPr="00CF1F06" w:rsidRDefault="00F27507" w:rsidP="00F27507">
      <w:pPr>
        <w:tabs>
          <w:tab w:val="left" w:pos="0"/>
        </w:tabs>
        <w:rPr>
          <w:rFonts w:ascii="Arial" w:hAnsi="Arial" w:cs="Arial"/>
          <w:bCs/>
        </w:rPr>
      </w:pPr>
      <w:r w:rsidRPr="00CF1F06">
        <w:rPr>
          <w:rFonts w:ascii="Arial" w:hAnsi="Arial" w:cs="Arial"/>
          <w:bCs/>
        </w:rPr>
        <w:t>SO 107 – Místní komunikace u řeky Oslavy</w:t>
      </w:r>
    </w:p>
    <w:p w14:paraId="48BD66F7" w14:textId="77777777" w:rsidR="00F27507" w:rsidRPr="00185D51" w:rsidRDefault="00F27507" w:rsidP="00F27507">
      <w:pPr>
        <w:tabs>
          <w:tab w:val="left" w:pos="0"/>
        </w:tabs>
        <w:rPr>
          <w:rFonts w:ascii="Arial" w:hAnsi="Arial" w:cs="Arial"/>
          <w:bCs/>
          <w:iCs/>
        </w:rPr>
      </w:pPr>
      <w:r w:rsidRPr="00185D51">
        <w:rPr>
          <w:rFonts w:ascii="Arial" w:hAnsi="Arial" w:cs="Arial"/>
          <w:bCs/>
          <w:iCs/>
        </w:rPr>
        <w:t>SO 108 – Úprava křižovatky II/360 a MK</w:t>
      </w:r>
    </w:p>
    <w:p w14:paraId="2523F7A3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6FDFDCE3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110 – Provizorní napojení II/360</w:t>
      </w:r>
    </w:p>
    <w:p w14:paraId="7A29E4E6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120 – Úprava příjezdových tras </w:t>
      </w:r>
    </w:p>
    <w:p w14:paraId="343F563F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7CDC911D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201 – Most přes Oslavu a silnici II/392</w:t>
      </w:r>
    </w:p>
    <w:p w14:paraId="34B80AC2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202 – Most přes polní cestu v km 0,404</w:t>
      </w:r>
    </w:p>
    <w:p w14:paraId="13818CD2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203 – Propust u přeložky Františkovského potoka v </w:t>
      </w:r>
      <w:proofErr w:type="gramStart"/>
      <w:r w:rsidRPr="00CF1F06">
        <w:rPr>
          <w:rFonts w:ascii="Arial" w:hAnsi="Arial" w:cs="Arial"/>
        </w:rPr>
        <w:t>km 2,120</w:t>
      </w:r>
      <w:proofErr w:type="gramEnd"/>
    </w:p>
    <w:p w14:paraId="6C040DAF" w14:textId="77777777" w:rsidR="00F27507" w:rsidRPr="00CF1F06" w:rsidRDefault="00F27507" w:rsidP="00F27507">
      <w:pPr>
        <w:rPr>
          <w:rFonts w:ascii="Arial" w:hAnsi="Arial" w:cs="Arial"/>
          <w:bCs/>
        </w:rPr>
      </w:pPr>
      <w:r w:rsidRPr="00CF1F06">
        <w:rPr>
          <w:rFonts w:ascii="Arial" w:hAnsi="Arial" w:cs="Arial"/>
          <w:bCs/>
        </w:rPr>
        <w:t>SO 204 - Most u přeložky Františkovského potoka v km 1,680</w:t>
      </w:r>
    </w:p>
    <w:p w14:paraId="728DD1A8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45B10734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211 – Opěrná zeď v km 0,960 – 1,060 </w:t>
      </w:r>
    </w:p>
    <w:p w14:paraId="336E2265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212 – Opěrná zeď u ČOV</w:t>
      </w:r>
    </w:p>
    <w:p w14:paraId="232A41A1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213 – Zárubní zeď v </w:t>
      </w:r>
      <w:proofErr w:type="gramStart"/>
      <w:r w:rsidRPr="00CF1F06">
        <w:rPr>
          <w:rFonts w:ascii="Arial" w:hAnsi="Arial" w:cs="Arial"/>
        </w:rPr>
        <w:t>km 2,030</w:t>
      </w:r>
      <w:proofErr w:type="gramEnd"/>
      <w:r w:rsidRPr="00CF1F06">
        <w:rPr>
          <w:rFonts w:ascii="Arial" w:hAnsi="Arial" w:cs="Arial"/>
        </w:rPr>
        <w:t xml:space="preserve"> – 2,073</w:t>
      </w:r>
    </w:p>
    <w:p w14:paraId="27247529" w14:textId="77777777" w:rsidR="00F27507" w:rsidRPr="00CF1F06" w:rsidRDefault="00F27507" w:rsidP="00F27507">
      <w:pPr>
        <w:rPr>
          <w:rFonts w:ascii="Arial" w:hAnsi="Arial" w:cs="Arial"/>
          <w:bCs/>
        </w:rPr>
      </w:pPr>
      <w:r w:rsidRPr="00CF1F06">
        <w:rPr>
          <w:rFonts w:ascii="Arial" w:hAnsi="Arial" w:cs="Arial"/>
          <w:bCs/>
        </w:rPr>
        <w:t>SO 215 - Protipovodňová zeď v km 1,670</w:t>
      </w:r>
    </w:p>
    <w:p w14:paraId="3CAF7E29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3387C3B0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301 – Přeložka vodovodu DN 250 v km 0,104 – 0,140</w:t>
      </w:r>
    </w:p>
    <w:p w14:paraId="7A6AF3C7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302 – Přeložka vodovodu DN 350 v km 1,460 - 1,560</w:t>
      </w:r>
    </w:p>
    <w:p w14:paraId="74170603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303 – Přeložka vodovodu DN 350 v km 1,660 – 2,040</w:t>
      </w:r>
    </w:p>
    <w:p w14:paraId="324E9082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304 – Přeložka vodovodu DN 250 v km  2,070</w:t>
      </w:r>
    </w:p>
    <w:p w14:paraId="0B0AA8F7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311 – Přeložka kanalizace DN 400 v km 1,720 – 1,780 </w:t>
      </w:r>
    </w:p>
    <w:p w14:paraId="3300C820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312 -  Přeložka kanalizace DN 300 v km  2,080  </w:t>
      </w:r>
    </w:p>
    <w:p w14:paraId="400A3689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313 -  Přeložka kanalizace DN400 v km  2,082</w:t>
      </w:r>
    </w:p>
    <w:p w14:paraId="62DB0779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314 -  Přeložka kanalizační přípojky DN200 v km  2,165</w:t>
      </w:r>
    </w:p>
    <w:p w14:paraId="07BAA7C5" w14:textId="77777777" w:rsidR="00F27507" w:rsidRPr="00CF1F06" w:rsidRDefault="00F27507" w:rsidP="00F27507">
      <w:pPr>
        <w:rPr>
          <w:rFonts w:ascii="Arial" w:hAnsi="Arial" w:cs="Arial"/>
          <w:bCs/>
        </w:rPr>
      </w:pPr>
      <w:r w:rsidRPr="00CF1F06">
        <w:rPr>
          <w:rFonts w:ascii="Arial" w:hAnsi="Arial" w:cs="Arial"/>
          <w:bCs/>
        </w:rPr>
        <w:t>SO 315 - Retenční nádrž v km 0,350 vlevo</w:t>
      </w:r>
    </w:p>
    <w:p w14:paraId="1EC2D8E1" w14:textId="77777777" w:rsidR="00F27507" w:rsidRPr="00CF1F06" w:rsidRDefault="00F27507" w:rsidP="00F27507">
      <w:pPr>
        <w:rPr>
          <w:rFonts w:ascii="Arial" w:hAnsi="Arial" w:cs="Arial"/>
        </w:rPr>
      </w:pPr>
      <w:r w:rsidRPr="00CF1F06">
        <w:rPr>
          <w:rFonts w:ascii="Arial" w:hAnsi="Arial" w:cs="Arial"/>
          <w:bCs/>
        </w:rPr>
        <w:t>SO 316 - Retenční nádrž v km 1,550</w:t>
      </w:r>
    </w:p>
    <w:p w14:paraId="3406FEF0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321 – Přeložka Františkovského potoka v km 1,670 – 1,820</w:t>
      </w:r>
    </w:p>
    <w:p w14:paraId="0B6F16CE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322 -  Přeložka Františkovského potoka v km  2,060 – 2,200</w:t>
      </w:r>
    </w:p>
    <w:p w14:paraId="3FCA999A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5A738EB2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401 – Přeložka vedení VN v km 1,169 – </w:t>
      </w:r>
      <w:r w:rsidRPr="00CF1F06">
        <w:rPr>
          <w:rFonts w:ascii="Arial" w:hAnsi="Arial" w:cs="Arial"/>
          <w:b/>
        </w:rPr>
        <w:t xml:space="preserve">dodávka </w:t>
      </w:r>
      <w:proofErr w:type="gramStart"/>
      <w:r w:rsidRPr="00CF1F06">
        <w:rPr>
          <w:rFonts w:ascii="Arial" w:hAnsi="Arial" w:cs="Arial"/>
          <w:b/>
        </w:rPr>
        <w:t>EG.D (E.ON</w:t>
      </w:r>
      <w:proofErr w:type="gramEnd"/>
      <w:r w:rsidRPr="00CF1F06">
        <w:rPr>
          <w:rFonts w:ascii="Arial" w:hAnsi="Arial" w:cs="Arial"/>
          <w:b/>
        </w:rPr>
        <w:t>) – není předmětem zakázky</w:t>
      </w:r>
    </w:p>
    <w:p w14:paraId="1E363622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402 – Přeložka vedení VN v km 1,240 - </w:t>
      </w:r>
      <w:r w:rsidRPr="00CF1F06">
        <w:rPr>
          <w:rFonts w:ascii="Arial" w:hAnsi="Arial" w:cs="Arial"/>
          <w:b/>
        </w:rPr>
        <w:t xml:space="preserve">dodávka </w:t>
      </w:r>
      <w:proofErr w:type="gramStart"/>
      <w:r w:rsidRPr="00CF1F06">
        <w:rPr>
          <w:rFonts w:ascii="Arial" w:hAnsi="Arial" w:cs="Arial"/>
          <w:b/>
        </w:rPr>
        <w:t>EG.D (E.ON</w:t>
      </w:r>
      <w:proofErr w:type="gramEnd"/>
      <w:r w:rsidRPr="00CF1F06">
        <w:rPr>
          <w:rFonts w:ascii="Arial" w:hAnsi="Arial" w:cs="Arial"/>
          <w:b/>
        </w:rPr>
        <w:t>) – není předmětem zakázky</w:t>
      </w:r>
    </w:p>
    <w:p w14:paraId="20C7664F" w14:textId="77777777" w:rsidR="00F27507" w:rsidRPr="00CF1F06" w:rsidRDefault="00F27507" w:rsidP="00F27507">
      <w:pPr>
        <w:ind w:left="5103" w:hanging="5103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403 – Přeložka vedení VN v km 1,400-1,560 - </w:t>
      </w:r>
      <w:r w:rsidRPr="00CF1F06">
        <w:rPr>
          <w:rFonts w:ascii="Arial" w:hAnsi="Arial" w:cs="Arial"/>
          <w:b/>
        </w:rPr>
        <w:t xml:space="preserve">dodávka </w:t>
      </w:r>
      <w:proofErr w:type="gramStart"/>
      <w:r w:rsidRPr="00CF1F06">
        <w:rPr>
          <w:rFonts w:ascii="Arial" w:hAnsi="Arial" w:cs="Arial"/>
          <w:b/>
        </w:rPr>
        <w:t>EG.D (E.ON</w:t>
      </w:r>
      <w:proofErr w:type="gramEnd"/>
      <w:r w:rsidRPr="00CF1F06">
        <w:rPr>
          <w:rFonts w:ascii="Arial" w:hAnsi="Arial" w:cs="Arial"/>
          <w:b/>
        </w:rPr>
        <w:t>) – není předmětem   zakázky</w:t>
      </w:r>
    </w:p>
    <w:p w14:paraId="1CACA1C5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  <w:b/>
        </w:rPr>
      </w:pPr>
      <w:r w:rsidRPr="00CF1F06">
        <w:rPr>
          <w:rFonts w:ascii="Arial" w:hAnsi="Arial" w:cs="Arial"/>
        </w:rPr>
        <w:t xml:space="preserve">SO 404 – Přeložka vedení VN v km  2,077 - </w:t>
      </w:r>
      <w:r w:rsidRPr="00CF1F06">
        <w:rPr>
          <w:rFonts w:ascii="Arial" w:hAnsi="Arial" w:cs="Arial"/>
          <w:b/>
        </w:rPr>
        <w:t xml:space="preserve">dodávka </w:t>
      </w:r>
      <w:proofErr w:type="gramStart"/>
      <w:r w:rsidRPr="00CF1F06">
        <w:rPr>
          <w:rFonts w:ascii="Arial" w:hAnsi="Arial" w:cs="Arial"/>
          <w:b/>
        </w:rPr>
        <w:t>EG.D (E.ON</w:t>
      </w:r>
      <w:proofErr w:type="gramEnd"/>
      <w:r w:rsidRPr="00CF1F06">
        <w:rPr>
          <w:rFonts w:ascii="Arial" w:hAnsi="Arial" w:cs="Arial"/>
          <w:b/>
        </w:rPr>
        <w:t>) – není předmětem zakázky</w:t>
      </w:r>
    </w:p>
    <w:p w14:paraId="25C6B778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53793336" w14:textId="77777777" w:rsidR="00F27507" w:rsidRPr="00CF1F06" w:rsidRDefault="00F27507" w:rsidP="00F27507">
      <w:pPr>
        <w:tabs>
          <w:tab w:val="left" w:pos="0"/>
        </w:tabs>
        <w:rPr>
          <w:rFonts w:ascii="Arial" w:hAnsi="Arial" w:cs="Arial"/>
          <w:bCs/>
        </w:rPr>
      </w:pPr>
      <w:r w:rsidRPr="00CF1F06">
        <w:rPr>
          <w:rFonts w:ascii="Arial" w:hAnsi="Arial" w:cs="Arial"/>
          <w:bCs/>
        </w:rPr>
        <w:t>SO 405 - Přeložka VO v areálu betonárky</w:t>
      </w:r>
    </w:p>
    <w:p w14:paraId="6BAE766E" w14:textId="77777777" w:rsidR="00F27507" w:rsidRPr="00CF1F06" w:rsidRDefault="00F27507" w:rsidP="00F27507">
      <w:pPr>
        <w:ind w:left="709"/>
        <w:jc w:val="both"/>
        <w:rPr>
          <w:rFonts w:ascii="Arial" w:hAnsi="Arial" w:cs="Arial"/>
        </w:rPr>
      </w:pPr>
    </w:p>
    <w:p w14:paraId="1F0255AB" w14:textId="77777777" w:rsidR="00F27507" w:rsidRPr="00CF1F06" w:rsidRDefault="00F27507" w:rsidP="00F27507">
      <w:pPr>
        <w:ind w:left="5812" w:hanging="5812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411 – Přeložka vedení CETIN v km 1,672 – 1,714 - </w:t>
      </w:r>
      <w:r w:rsidRPr="00CF1F06">
        <w:rPr>
          <w:rFonts w:ascii="Arial" w:hAnsi="Arial" w:cs="Arial"/>
          <w:b/>
        </w:rPr>
        <w:t xml:space="preserve">dodávka </w:t>
      </w:r>
      <w:proofErr w:type="spellStart"/>
      <w:r w:rsidRPr="00CF1F06">
        <w:rPr>
          <w:rFonts w:ascii="Arial" w:hAnsi="Arial" w:cs="Arial"/>
          <w:b/>
        </w:rPr>
        <w:t>Cetin</w:t>
      </w:r>
      <w:proofErr w:type="spellEnd"/>
      <w:r w:rsidRPr="00CF1F06">
        <w:rPr>
          <w:rFonts w:ascii="Arial" w:hAnsi="Arial" w:cs="Arial"/>
          <w:b/>
        </w:rPr>
        <w:t xml:space="preserve"> – není předmětem zakázky</w:t>
      </w:r>
    </w:p>
    <w:p w14:paraId="76229E11" w14:textId="77777777" w:rsidR="005754C9" w:rsidRDefault="005754C9" w:rsidP="00F27507">
      <w:pPr>
        <w:ind w:left="709" w:hanging="709"/>
        <w:jc w:val="both"/>
        <w:rPr>
          <w:rFonts w:ascii="Arial" w:hAnsi="Arial" w:cs="Arial"/>
        </w:rPr>
      </w:pPr>
    </w:p>
    <w:p w14:paraId="379D56C4" w14:textId="4C22B23C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412 – Přeložka kabelu </w:t>
      </w:r>
      <w:proofErr w:type="spellStart"/>
      <w:r w:rsidRPr="00CF1F06">
        <w:rPr>
          <w:rFonts w:ascii="Arial" w:hAnsi="Arial" w:cs="Arial"/>
        </w:rPr>
        <w:t>PETNet</w:t>
      </w:r>
      <w:proofErr w:type="spellEnd"/>
      <w:r w:rsidRPr="00CF1F06">
        <w:rPr>
          <w:rFonts w:ascii="Arial" w:hAnsi="Arial" w:cs="Arial"/>
        </w:rPr>
        <w:t xml:space="preserve"> v km 1,700 </w:t>
      </w:r>
    </w:p>
    <w:p w14:paraId="2A166848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38AB6C25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501 – Přeložka plynovodu STL v km 1,545</w:t>
      </w:r>
    </w:p>
    <w:p w14:paraId="2360A70D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48CA7259" w14:textId="77777777" w:rsidR="008730A0" w:rsidRDefault="008730A0" w:rsidP="00F27507">
      <w:pPr>
        <w:ind w:left="709" w:hanging="709"/>
        <w:jc w:val="both"/>
        <w:rPr>
          <w:rFonts w:ascii="Arial" w:hAnsi="Arial" w:cs="Arial"/>
        </w:rPr>
      </w:pPr>
    </w:p>
    <w:p w14:paraId="4DF56EDF" w14:textId="4A696813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701 – Oplocení </w:t>
      </w:r>
    </w:p>
    <w:p w14:paraId="7DCB0EB6" w14:textId="77777777" w:rsidR="00583DE2" w:rsidRPr="00CF1F06" w:rsidRDefault="00583DE2" w:rsidP="00F27507">
      <w:pPr>
        <w:ind w:left="709" w:hanging="709"/>
        <w:jc w:val="both"/>
        <w:rPr>
          <w:rFonts w:ascii="Arial" w:hAnsi="Arial" w:cs="Arial"/>
        </w:rPr>
      </w:pPr>
    </w:p>
    <w:p w14:paraId="5BAB2FFC" w14:textId="46C48FBD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702 – Provizorní oplocení</w:t>
      </w:r>
    </w:p>
    <w:p w14:paraId="515CC19E" w14:textId="77777777" w:rsidR="00F27507" w:rsidRPr="00CF1F06" w:rsidRDefault="00F27507" w:rsidP="00F27507">
      <w:pPr>
        <w:tabs>
          <w:tab w:val="left" w:pos="0"/>
        </w:tabs>
        <w:rPr>
          <w:rFonts w:ascii="Arial" w:hAnsi="Arial" w:cs="Arial"/>
        </w:rPr>
      </w:pPr>
      <w:r w:rsidRPr="00CF1F06">
        <w:rPr>
          <w:rFonts w:ascii="Arial" w:hAnsi="Arial" w:cs="Arial"/>
          <w:bCs/>
        </w:rPr>
        <w:t xml:space="preserve">SO 703 – Ochranná stěna v </w:t>
      </w:r>
      <w:proofErr w:type="gramStart"/>
      <w:r w:rsidRPr="00CF1F06">
        <w:rPr>
          <w:rFonts w:ascii="Arial" w:hAnsi="Arial" w:cs="Arial"/>
          <w:bCs/>
        </w:rPr>
        <w:t>km 2,040</w:t>
      </w:r>
      <w:proofErr w:type="gramEnd"/>
    </w:p>
    <w:p w14:paraId="6E7CB9E4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41F44475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801 – Vegetační úpravy</w:t>
      </w:r>
    </w:p>
    <w:p w14:paraId="52F3143E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802 – Biologická rekultivace</w:t>
      </w:r>
    </w:p>
    <w:p w14:paraId="525C8343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</w:p>
    <w:p w14:paraId="20330E77" w14:textId="77777777" w:rsidR="00CF1F06" w:rsidRDefault="00CF1F06" w:rsidP="00F27507">
      <w:pPr>
        <w:suppressAutoHyphens/>
        <w:spacing w:line="264" w:lineRule="auto"/>
        <w:jc w:val="both"/>
        <w:rPr>
          <w:rFonts w:ascii="Arial" w:hAnsi="Arial" w:cs="Arial"/>
          <w:b/>
          <w:lang w:eastAsia="ar-SA"/>
        </w:rPr>
      </w:pPr>
    </w:p>
    <w:p w14:paraId="42247B07" w14:textId="492B60F2" w:rsidR="00F27507" w:rsidRPr="00CF1F06" w:rsidRDefault="00F27507" w:rsidP="00F27507">
      <w:pPr>
        <w:suppressAutoHyphens/>
        <w:spacing w:line="264" w:lineRule="auto"/>
        <w:jc w:val="both"/>
        <w:rPr>
          <w:rFonts w:ascii="Arial" w:eastAsia="MS Mincho" w:hAnsi="Arial" w:cs="Arial"/>
          <w:b/>
          <w:spacing w:val="-6"/>
        </w:rPr>
      </w:pPr>
      <w:r w:rsidRPr="00CF1F06">
        <w:rPr>
          <w:rFonts w:ascii="Arial" w:hAnsi="Arial" w:cs="Arial"/>
          <w:b/>
          <w:lang w:eastAsia="ar-SA"/>
        </w:rPr>
        <w:t xml:space="preserve">Členění na stavební objekty, část </w:t>
      </w:r>
      <w:r w:rsidRPr="00CF1F06">
        <w:rPr>
          <w:rFonts w:ascii="Arial" w:eastAsia="MS Mincho" w:hAnsi="Arial" w:cs="Arial"/>
          <w:b/>
        </w:rPr>
        <w:t xml:space="preserve">stavby: </w:t>
      </w:r>
      <w:r w:rsidRPr="00CF1F06">
        <w:rPr>
          <w:rFonts w:ascii="Arial" w:eastAsia="MS Mincho" w:hAnsi="Arial" w:cs="Arial"/>
          <w:b/>
          <w:spacing w:val="-6"/>
        </w:rPr>
        <w:t>II/360 Velké Meziříčí – JV obchvat, 2. část</w:t>
      </w:r>
    </w:p>
    <w:p w14:paraId="0C90A5A5" w14:textId="77777777" w:rsidR="00F27507" w:rsidRPr="00CF1F06" w:rsidRDefault="00F27507" w:rsidP="00F27507">
      <w:pPr>
        <w:suppressAutoHyphens/>
        <w:spacing w:line="264" w:lineRule="auto"/>
        <w:jc w:val="both"/>
        <w:rPr>
          <w:rFonts w:ascii="Arial" w:hAnsi="Arial" w:cs="Arial"/>
          <w:b/>
          <w:lang w:eastAsia="ar-SA"/>
        </w:rPr>
      </w:pPr>
    </w:p>
    <w:p w14:paraId="242F6636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 xml:space="preserve">SO 101.2 – Rekonstrukce silnice II/360 </w:t>
      </w:r>
    </w:p>
    <w:p w14:paraId="4970F318" w14:textId="77777777" w:rsidR="00F27507" w:rsidRPr="00CF1F06" w:rsidRDefault="00F27507" w:rsidP="00F27507">
      <w:pPr>
        <w:ind w:left="709" w:hanging="709"/>
        <w:jc w:val="both"/>
        <w:rPr>
          <w:rFonts w:ascii="Arial" w:hAnsi="Arial" w:cs="Arial"/>
        </w:rPr>
      </w:pPr>
      <w:r w:rsidRPr="00CF1F06">
        <w:rPr>
          <w:rFonts w:ascii="Arial" w:hAnsi="Arial" w:cs="Arial"/>
        </w:rPr>
        <w:t>SO 101.3 – Sjezdy ze silnice II/360</w:t>
      </w:r>
    </w:p>
    <w:p w14:paraId="10AC30BC" w14:textId="5FE3D788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7F395634" w:rsid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0340010" w14:textId="77777777" w:rsidR="0051136C" w:rsidRDefault="0051136C" w:rsidP="0051136C">
      <w:pPr>
        <w:pStyle w:val="Bntext2"/>
        <w:spacing w:before="60"/>
        <w:ind w:left="284" w:hanging="142"/>
      </w:pPr>
      <w:r>
        <w:t>- zajištění aktualizace vyjádření, stanovisek, vyjádření o umístění inženýrských sítí obsažených v dokladové části nutných pro realizaci stavby,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B4F4801" w:rsidR="007556D7" w:rsidRDefault="00F73D91" w:rsidP="00F822FB">
      <w:pPr>
        <w:pStyle w:val="Bntext2"/>
        <w:spacing w:before="60"/>
        <w:ind w:left="284" w:hanging="142"/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F5F62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1E3CD2">
        <w:rPr>
          <w:spacing w:val="4"/>
        </w:rPr>
        <w:t>prostřednictvím</w:t>
      </w:r>
      <w:r w:rsidRPr="0049529B">
        <w:rPr>
          <w:spacing w:val="4"/>
        </w:rPr>
        <w:t xml:space="preserve"> CD</w:t>
      </w:r>
      <w:r w:rsidR="001E3CD2">
        <w:rPr>
          <w:spacing w:val="4"/>
        </w:rPr>
        <w:t>E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5B8A3EE7" w14:textId="2DDFCA3E" w:rsidR="008730A0" w:rsidRDefault="008730A0" w:rsidP="00F822FB">
      <w:pPr>
        <w:pStyle w:val="Bntext2"/>
        <w:spacing w:before="60"/>
        <w:ind w:left="284" w:hanging="142"/>
      </w:pPr>
    </w:p>
    <w:p w14:paraId="7D5E7B7F" w14:textId="77777777" w:rsidR="008730A0" w:rsidRPr="0049529B" w:rsidRDefault="008730A0" w:rsidP="00F822FB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1DC7282F" w14:textId="34724EE0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3F5F62">
        <w:rPr>
          <w:rFonts w:cs="Arial"/>
          <w:spacing w:val="-4"/>
          <w:szCs w:val="22"/>
        </w:rPr>
        <w:t>2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1E3CD2">
        <w:rPr>
          <w:rFonts w:cs="Arial"/>
          <w:szCs w:val="22"/>
        </w:rPr>
        <w:t>CDE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7365E45B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</w:t>
      </w:r>
      <w:r w:rsidR="001E3CD2">
        <w:rPr>
          <w:rFonts w:cs="Arial"/>
          <w:spacing w:val="-6"/>
          <w:szCs w:val="22"/>
        </w:rPr>
        <w:t>E</w:t>
      </w:r>
      <w:r w:rsidR="0019010B" w:rsidRPr="00925A01">
        <w:rPr>
          <w:rFonts w:cs="Arial"/>
          <w:spacing w:val="-6"/>
          <w:szCs w:val="22"/>
        </w:rPr>
        <w:t>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7B23E350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FF2437" w:rsidRPr="00C160F3">
        <w:rPr>
          <w:rFonts w:cs="Arial"/>
          <w:szCs w:val="22"/>
        </w:rPr>
        <w:t>1</w:t>
      </w:r>
      <w:r w:rsidR="00FF2437">
        <w:rPr>
          <w:rFonts w:cs="Arial"/>
          <w:szCs w:val="22"/>
        </w:rPr>
        <w:t xml:space="preserve"> x v písemné podobě</w:t>
      </w:r>
      <w:r w:rsidR="00FF2437" w:rsidRPr="00C160F3">
        <w:rPr>
          <w:rFonts w:cs="Arial"/>
          <w:szCs w:val="22"/>
        </w:rPr>
        <w:t xml:space="preserve"> </w:t>
      </w:r>
      <w:r w:rsidR="00C160F3" w:rsidRPr="00C160F3">
        <w:rPr>
          <w:rFonts w:cs="Arial"/>
          <w:szCs w:val="22"/>
        </w:rPr>
        <w:t xml:space="preserve">a </w:t>
      </w:r>
      <w:r w:rsidR="000B1A1E">
        <w:rPr>
          <w:rFonts w:cs="Arial"/>
          <w:szCs w:val="22"/>
        </w:rPr>
        <w:t>prostřednictvím CDE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6CE6C53A" w14:textId="77777777" w:rsidR="008730A0" w:rsidRDefault="008730A0" w:rsidP="00F822FB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4DDEEC1B" w14:textId="77777777" w:rsidR="008730A0" w:rsidRDefault="008730A0" w:rsidP="00F822FB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1154C6C3" w14:textId="4FFA3C0F" w:rsidR="00F73D91" w:rsidRDefault="00410227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6FA97C0F" w14:textId="74D68731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</w:t>
      </w:r>
      <w:r w:rsidR="00321091">
        <w:t>y a hlavní mostní prohlídky</w:t>
      </w:r>
      <w:r w:rsidR="007F38CA">
        <w:t>,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29ED2CE" w14:textId="37FD9BB9" w:rsidR="008730A0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ukazatele 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dle 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obecných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 technických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 požadavků 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na výstavbu a platných norem. Zhotovitel </w:t>
      </w:r>
      <w:proofErr w:type="gramStart"/>
      <w:r w:rsidRPr="009A50B9">
        <w:rPr>
          <w:rFonts w:ascii="Arial" w:hAnsi="Arial" w:cs="Arial"/>
          <w:sz w:val="22"/>
        </w:rPr>
        <w:t>se</w:t>
      </w:r>
      <w:proofErr w:type="gramEnd"/>
      <w:r w:rsidRPr="009A50B9">
        <w:rPr>
          <w:rFonts w:ascii="Arial" w:hAnsi="Arial" w:cs="Arial"/>
          <w:sz w:val="22"/>
        </w:rPr>
        <w:t xml:space="preserve"> </w:t>
      </w:r>
    </w:p>
    <w:p w14:paraId="4F69ABE7" w14:textId="77777777" w:rsidR="008730A0" w:rsidRDefault="008730A0" w:rsidP="008730A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EA1CABC" w14:textId="77777777" w:rsidR="008730A0" w:rsidRDefault="008730A0" w:rsidP="008730A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1C1EA4B7" w:rsidR="00F77E11" w:rsidRPr="009A50B9" w:rsidRDefault="00F77E11" w:rsidP="008730A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60BCC491" w14:textId="77777777" w:rsidR="00D87DA5" w:rsidRDefault="00D87DA5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2011AA3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5F5AFB77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DD657D" w:rsidRPr="0003210B">
        <w:rPr>
          <w:rFonts w:ascii="Arial" w:hAnsi="Arial" w:cs="Arial"/>
          <w:b w:val="0"/>
          <w:bCs w:val="0"/>
          <w:sz w:val="22"/>
          <w:szCs w:val="22"/>
        </w:rPr>
        <w:t>02/2026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30272784" w:rsidR="0085694C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DD657D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DD657D">
        <w:rPr>
          <w:rFonts w:ascii="Arial" w:hAnsi="Arial" w:cs="Arial"/>
          <w:b w:val="0"/>
          <w:bCs w:val="0"/>
          <w:sz w:val="22"/>
          <w:szCs w:val="22"/>
          <w:lang w:val="cs-CZ"/>
        </w:rPr>
        <w:t>6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DD657D">
        <w:rPr>
          <w:rFonts w:ascii="Arial" w:hAnsi="Arial" w:cs="Arial"/>
          <w:b w:val="0"/>
          <w:bCs w:val="0"/>
          <w:sz w:val="22"/>
          <w:szCs w:val="22"/>
          <w:lang w:val="cs-CZ"/>
        </w:rPr>
        <w:t>8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5608E3C9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DD657D">
        <w:rPr>
          <w:rFonts w:ascii="Arial" w:hAnsi="Arial" w:cs="Arial"/>
        </w:rPr>
        <w:t>10</w:t>
      </w:r>
      <w:r w:rsidR="007230F4" w:rsidRPr="00A126BA">
        <w:rPr>
          <w:rFonts w:ascii="Arial" w:hAnsi="Arial" w:cs="Arial"/>
        </w:rPr>
        <w:t>. 11</w:t>
      </w:r>
      <w:r w:rsidR="000F7956" w:rsidRPr="00A126BA">
        <w:rPr>
          <w:rFonts w:ascii="Arial" w:hAnsi="Arial" w:cs="Arial"/>
        </w:rPr>
        <w:t>. 202</w:t>
      </w:r>
      <w:r w:rsidR="00DD657D">
        <w:rPr>
          <w:rFonts w:ascii="Arial" w:hAnsi="Arial" w:cs="Arial"/>
        </w:rPr>
        <w:t>8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4050B7B8" w14:textId="77777777" w:rsidR="00DD657D" w:rsidRPr="0003210B" w:rsidRDefault="00DD657D" w:rsidP="00DD657D">
      <w:pPr>
        <w:spacing w:line="288" w:lineRule="auto"/>
        <w:jc w:val="both"/>
        <w:rPr>
          <w:rFonts w:ascii="Arial" w:hAnsi="Arial" w:cs="Arial"/>
        </w:rPr>
      </w:pPr>
      <w:r w:rsidRPr="0003210B">
        <w:rPr>
          <w:rFonts w:ascii="Arial" w:hAnsi="Arial" w:cs="Arial"/>
        </w:rPr>
        <w:t xml:space="preserve">Pozn.: </w:t>
      </w:r>
      <w:r w:rsidRPr="0003210B">
        <w:rPr>
          <w:rFonts w:ascii="Arial" w:hAnsi="Arial" w:cs="Arial"/>
          <w:spacing w:val="-4"/>
          <w:lang w:eastAsia="x-none"/>
        </w:rPr>
        <w:t>V zimním období (tj. od 1. listopadu do 31. března) nebudou prováděny jakékoli stavební práce, které by znemožnily provoz na pozemních komunikacích a zimní údržbu</w:t>
      </w:r>
      <w:r w:rsidRPr="0003210B">
        <w:rPr>
          <w:rFonts w:ascii="Arial" w:hAnsi="Arial" w:cs="Arial"/>
        </w:rPr>
        <w:t xml:space="preserve">. </w:t>
      </w:r>
    </w:p>
    <w:p w14:paraId="1B9FA6CB" w14:textId="53394318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56BA6DC5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4911F123" w14:textId="384B2CCA" w:rsidR="008730A0" w:rsidRDefault="008730A0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37021C6C" w14:textId="77777777" w:rsidR="008730A0" w:rsidRDefault="008730A0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7382B90E" w14:textId="77777777" w:rsidR="008730A0" w:rsidRDefault="008730A0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224606E1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51D78EB8" w:rsidR="00F77E11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558B0FF2" w14:textId="77777777" w:rsidR="005350EE" w:rsidRDefault="005350EE" w:rsidP="005350EE">
      <w:pPr>
        <w:pStyle w:val="Zkladntextodsazen"/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39A5DF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</w:t>
      </w:r>
      <w:r w:rsidR="00185D51">
        <w:rPr>
          <w:b/>
          <w:bCs/>
        </w:rPr>
        <w:t xml:space="preserve">za obě části stavby </w:t>
      </w:r>
      <w:r w:rsidR="003E476C">
        <w:rPr>
          <w:b/>
          <w:bCs/>
        </w:rPr>
        <w:t xml:space="preserve">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152451F3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="00C07A12">
        <w:rPr>
          <w:bCs/>
        </w:rPr>
        <w:t>cena celkem bez DPH:</w:t>
      </w:r>
      <w:r w:rsidR="00C07A12">
        <w:rPr>
          <w:bCs/>
        </w:rPr>
        <w:tab/>
      </w:r>
      <w:r w:rsidRPr="00811E37">
        <w:rPr>
          <w:b/>
          <w:bCs/>
        </w:rPr>
        <w:t>Kč</w:t>
      </w:r>
    </w:p>
    <w:p w14:paraId="695638BB" w14:textId="16456F6E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6A8FC170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713F7F">
        <w:rPr>
          <w:rFonts w:ascii="Arial" w:hAnsi="Arial" w:cs="Arial"/>
          <w:sz w:val="22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3D42A7B0" w14:textId="3CFC8A39" w:rsidR="00ED4A75" w:rsidRPr="0016288F" w:rsidRDefault="00ED4A75" w:rsidP="00AA5A5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2"/>
          <w:sz w:val="22"/>
        </w:rPr>
      </w:pPr>
      <w:r w:rsidRPr="0016288F">
        <w:rPr>
          <w:rFonts w:ascii="Arial" w:hAnsi="Arial" w:cs="Arial"/>
          <w:spacing w:val="2"/>
          <w:sz w:val="22"/>
        </w:rPr>
        <w:t xml:space="preserve">Objednatel tímto jako právnická osoba, která obecně je plátcem daně z přidané hodnoty (DIČ CZ70890749) a která z titulu plnění </w:t>
      </w:r>
      <w:r w:rsidR="00ED5788" w:rsidRPr="0016288F">
        <w:rPr>
          <w:rFonts w:ascii="Arial" w:hAnsi="Arial" w:cs="Arial"/>
          <w:spacing w:val="2"/>
          <w:sz w:val="22"/>
        </w:rPr>
        <w:t>této s</w:t>
      </w:r>
      <w:r w:rsidRPr="0016288F">
        <w:rPr>
          <w:rFonts w:ascii="Arial" w:hAnsi="Arial" w:cs="Arial"/>
          <w:spacing w:val="2"/>
          <w:sz w:val="22"/>
        </w:rPr>
        <w:t xml:space="preserve">mlouvy bude od </w:t>
      </w:r>
      <w:r w:rsidR="00AA5A51" w:rsidRPr="0016288F">
        <w:rPr>
          <w:rFonts w:ascii="Arial" w:hAnsi="Arial" w:cs="Arial"/>
          <w:spacing w:val="2"/>
          <w:sz w:val="22"/>
        </w:rPr>
        <w:t>zhotovitele</w:t>
      </w:r>
      <w:r w:rsidRPr="0016288F">
        <w:rPr>
          <w:rFonts w:ascii="Arial" w:hAnsi="Arial" w:cs="Arial"/>
          <w:spacing w:val="2"/>
          <w:sz w:val="22"/>
        </w:rPr>
        <w:t>, přijímat zdanitelná plnění spočívající v poskytnutí stavebních prací odpovídajících kódům 41 až 43 klasifikace produkce CZ-CPA</w:t>
      </w:r>
      <w:r w:rsidR="00AA5A51" w:rsidRPr="0016288F">
        <w:rPr>
          <w:rFonts w:ascii="Arial" w:hAnsi="Arial" w:cs="Arial"/>
          <w:spacing w:val="2"/>
          <w:sz w:val="22"/>
        </w:rPr>
        <w:t xml:space="preserve"> prohlašuje, že </w:t>
      </w:r>
      <w:r w:rsidRPr="0016288F">
        <w:rPr>
          <w:rFonts w:ascii="Arial" w:hAnsi="Arial" w:cs="Arial"/>
          <w:spacing w:val="2"/>
          <w:sz w:val="22"/>
        </w:rPr>
        <w:t>v souvislosti s výše uvedenými přijímanými zdanitelnými plněními bude vystupovat výlučně jako orgán veřejné moci. V souladu s ustanovením § 5 odst. (4) zákona č. 235/2004 Sb., o dani z přidané hodnoty, nebude Kraj Vysočina při přijímání výše uvedených zdanitelných plnění považován za osobu povinnou k dani, a proto tato zdanitelná plnění nebudou uskutečněna v režimu přenesení daňové povinnosti podle § 92e odst. (1) zákona o dani z přidané hodnoty. V souladu s ustanovením § 92a odst. (2) zákona o dani z přidané hodnoty se režim přenesení daňové povinnosti nepoužije. Daň z přidané hodnoty je tudíž povinen přiznat a zaplatit správci daně plátce, který bude uskutečňovat zdanitelná plnění poskytnutí služby s místem plnění v tuzemsku.</w:t>
      </w:r>
    </w:p>
    <w:p w14:paraId="5461DB7B" w14:textId="77777777" w:rsidR="00ED4A75" w:rsidRDefault="00ED4A7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3715E2B2" w:rsidR="000E482D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5DA699C2" w14:textId="60734EB8" w:rsidR="008730A0" w:rsidRDefault="008730A0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429FD710" w14:textId="130B9BD7" w:rsidR="008730A0" w:rsidRDefault="008730A0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3F664BF7" w14:textId="77777777" w:rsidR="008730A0" w:rsidRPr="009A50B9" w:rsidRDefault="008730A0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3DFBC16F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5 %</w:t>
      </w:r>
      <w:r w:rsidR="006E7C5E">
        <w:rPr>
          <w:rFonts w:cs="Arial"/>
          <w:szCs w:val="22"/>
        </w:rPr>
        <w:t>.</w:t>
      </w:r>
    </w:p>
    <w:p w14:paraId="791E1795" w14:textId="7E8AA162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4A7C3BB5" w14:textId="77777777" w:rsidR="008730A0" w:rsidRDefault="008730A0" w:rsidP="008730A0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361540D" w14:textId="77777777" w:rsidR="008730A0" w:rsidRDefault="008730A0" w:rsidP="008730A0">
      <w:pPr>
        <w:pStyle w:val="Odstavecseseznamem"/>
        <w:rPr>
          <w:rFonts w:ascii="Arial" w:hAnsi="Arial" w:cs="Arial"/>
          <w:bCs/>
        </w:rPr>
      </w:pPr>
    </w:p>
    <w:p w14:paraId="0C8BCF2F" w14:textId="6BEBA740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47346E43" w14:textId="77777777" w:rsidR="00583DE2" w:rsidRDefault="00E82DEF" w:rsidP="00F420DB">
      <w:pPr>
        <w:rPr>
          <w:rFonts w:ascii="Arial" w:hAnsi="Arial" w:cs="Arial"/>
          <w:bCs/>
        </w:rPr>
      </w:pPr>
      <w:r w:rsidRPr="00CE141B">
        <w:rPr>
          <w:rFonts w:ascii="Arial" w:hAnsi="Arial" w:cs="Arial"/>
          <w:bCs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</w:rPr>
        <w:t>faktur</w:t>
      </w:r>
      <w:r w:rsidRPr="00CE141B">
        <w:rPr>
          <w:rFonts w:ascii="Arial" w:hAnsi="Arial" w:cs="Arial"/>
          <w:bCs/>
        </w:rPr>
        <w:t xml:space="preserve"> se použije označení objednatele dle</w:t>
      </w:r>
      <w:r w:rsidR="00E92D6F" w:rsidRPr="00CE141B">
        <w:rPr>
          <w:rFonts w:ascii="Arial" w:hAnsi="Arial" w:cs="Arial"/>
          <w:bCs/>
        </w:rPr>
        <w:t xml:space="preserve"> </w:t>
      </w:r>
      <w:r w:rsidR="00E130EC" w:rsidRPr="00CE141B">
        <w:rPr>
          <w:rFonts w:ascii="Arial" w:hAnsi="Arial" w:cs="Arial"/>
          <w:bCs/>
        </w:rPr>
        <w:t>odst</w:t>
      </w:r>
      <w:r w:rsidRPr="00CE141B">
        <w:rPr>
          <w:rFonts w:ascii="Arial" w:hAnsi="Arial" w:cs="Arial"/>
          <w:bCs/>
        </w:rPr>
        <w:t xml:space="preserve">. </w:t>
      </w:r>
      <w:proofErr w:type="gramStart"/>
      <w:r w:rsidRPr="00CE141B">
        <w:rPr>
          <w:rFonts w:ascii="Arial" w:hAnsi="Arial" w:cs="Arial"/>
          <w:bCs/>
        </w:rPr>
        <w:t>1.1</w:t>
      </w:r>
      <w:r w:rsidR="00E130EC" w:rsidRPr="00CE141B">
        <w:rPr>
          <w:rFonts w:ascii="Arial" w:hAnsi="Arial" w:cs="Arial"/>
          <w:bCs/>
        </w:rPr>
        <w:t>.</w:t>
      </w:r>
      <w:r w:rsidRPr="00CE141B">
        <w:rPr>
          <w:rFonts w:ascii="Arial" w:hAnsi="Arial" w:cs="Arial"/>
          <w:bCs/>
        </w:rPr>
        <w:t xml:space="preserve"> této</w:t>
      </w:r>
      <w:proofErr w:type="gramEnd"/>
      <w:r w:rsidRPr="00CE141B">
        <w:rPr>
          <w:rFonts w:ascii="Arial" w:hAnsi="Arial" w:cs="Arial"/>
          <w:bCs/>
        </w:rPr>
        <w:t xml:space="preserve"> smlouvy.  </w:t>
      </w:r>
    </w:p>
    <w:p w14:paraId="2A53A445" w14:textId="3ACC35B0" w:rsidR="00F420DB" w:rsidRPr="00F420DB" w:rsidRDefault="00AA3C05" w:rsidP="00F420DB">
      <w:pPr>
        <w:rPr>
          <w:rFonts w:ascii="Arial" w:eastAsiaTheme="minorHAnsi" w:hAnsi="Arial" w:cs="Arial"/>
          <w:b/>
        </w:rPr>
      </w:pPr>
      <w:r w:rsidRPr="00CE141B">
        <w:rPr>
          <w:rFonts w:ascii="Arial" w:hAnsi="Arial" w:cs="Arial"/>
          <w:bCs/>
        </w:rPr>
        <w:br/>
      </w:r>
      <w:r w:rsidR="00E82DEF" w:rsidRPr="00CE141B">
        <w:rPr>
          <w:rFonts w:ascii="Arial" w:hAnsi="Arial" w:cs="Arial"/>
          <w:bCs/>
        </w:rPr>
        <w:t xml:space="preserve">Kromě povinných náležitostí je zhotovitel povinen uvádět </w:t>
      </w:r>
      <w:r w:rsidR="00E82DEF" w:rsidRPr="00315C90">
        <w:rPr>
          <w:rFonts w:ascii="Arial" w:hAnsi="Arial" w:cs="Arial"/>
          <w:bCs/>
        </w:rPr>
        <w:t>v jednotlivých fakturách přesný název akc</w:t>
      </w:r>
      <w:r w:rsidR="00034C6D" w:rsidRPr="00315C90">
        <w:rPr>
          <w:rFonts w:ascii="Arial" w:hAnsi="Arial" w:cs="Arial"/>
          <w:bCs/>
        </w:rPr>
        <w:t>e</w:t>
      </w:r>
      <w:r w:rsidR="00F420DB">
        <w:rPr>
          <w:rFonts w:ascii="Arial" w:hAnsi="Arial" w:cs="Arial"/>
          <w:bCs/>
        </w:rPr>
        <w:t>:</w:t>
      </w:r>
      <w:r w:rsidR="00034C6D" w:rsidRPr="00315C90">
        <w:rPr>
          <w:rFonts w:ascii="Arial" w:hAnsi="Arial" w:cs="Arial"/>
          <w:bCs/>
        </w:rPr>
        <w:t xml:space="preserve"> </w:t>
      </w:r>
      <w:r w:rsidR="00034C6D" w:rsidRPr="00F420DB">
        <w:rPr>
          <w:rFonts w:ascii="Arial" w:hAnsi="Arial" w:cs="Arial"/>
          <w:b/>
          <w:bCs/>
        </w:rPr>
        <w:t>„</w:t>
      </w:r>
      <w:r w:rsidR="00F420DB" w:rsidRPr="00F420DB">
        <w:rPr>
          <w:rFonts w:ascii="Arial" w:hAnsi="Arial" w:cs="Arial"/>
          <w:b/>
        </w:rPr>
        <w:t>II/360 – obchvat Velké Meziříčí, JV obchvat VM“.</w:t>
      </w:r>
    </w:p>
    <w:p w14:paraId="370E5046" w14:textId="626349E5" w:rsidR="00E82DEF" w:rsidRPr="00315C90" w:rsidRDefault="00315C90" w:rsidP="00F420DB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  <w:r w:rsidRPr="00315C90">
        <w:rPr>
          <w:rFonts w:ascii="Arial" w:hAnsi="Arial" w:cs="Arial"/>
          <w:bCs/>
          <w:sz w:val="22"/>
        </w:rPr>
        <w:t xml:space="preserve"> </w:t>
      </w: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03528219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6C755834" w:rsidR="00E82DEF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6CC5A21F" w14:textId="77777777" w:rsidR="008730A0" w:rsidRPr="009A50B9" w:rsidRDefault="008730A0" w:rsidP="008730A0">
      <w:pPr>
        <w:pStyle w:val="Zkladntextodsazen"/>
        <w:ind w:left="426"/>
        <w:jc w:val="both"/>
        <w:rPr>
          <w:rFonts w:ascii="Arial" w:hAnsi="Arial" w:cs="Arial"/>
          <w:bCs/>
          <w:sz w:val="22"/>
        </w:rPr>
      </w:pP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05C3B43" w14:textId="77777777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012EA698" w:rsidR="00F77E11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75B9CC4A" w14:textId="6F01C5D3" w:rsidR="008730A0" w:rsidRDefault="008730A0">
      <w:pPr>
        <w:tabs>
          <w:tab w:val="num" w:pos="1440"/>
        </w:tabs>
        <w:jc w:val="both"/>
        <w:rPr>
          <w:rFonts w:ascii="Arial" w:hAnsi="Arial" w:cs="Arial"/>
        </w:rPr>
      </w:pPr>
    </w:p>
    <w:p w14:paraId="320F1E66" w14:textId="41565422" w:rsidR="008730A0" w:rsidRDefault="008730A0">
      <w:pPr>
        <w:tabs>
          <w:tab w:val="num" w:pos="1440"/>
        </w:tabs>
        <w:jc w:val="both"/>
        <w:rPr>
          <w:rFonts w:ascii="Arial" w:hAnsi="Arial" w:cs="Arial"/>
        </w:rPr>
      </w:pPr>
    </w:p>
    <w:p w14:paraId="27E68088" w14:textId="77777777" w:rsidR="008730A0" w:rsidRPr="009A50B9" w:rsidRDefault="008730A0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47DF18C6" w:rsidR="00432BA1" w:rsidRPr="00417180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</w:t>
      </w:r>
      <w:r w:rsidR="00D763DB" w:rsidRPr="00417180">
        <w:rPr>
          <w:rFonts w:ascii="Arial" w:hAnsi="Arial" w:cs="Arial"/>
          <w:spacing w:val="6"/>
          <w:sz w:val="22"/>
        </w:rPr>
        <w:t xml:space="preserve"> </w:t>
      </w:r>
      <w:r w:rsidR="00E431B0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E431B0">
        <w:rPr>
          <w:rFonts w:ascii="Arial" w:hAnsi="Arial" w:cs="Arial"/>
          <w:spacing w:val="6"/>
          <w:sz w:val="22"/>
        </w:rPr>
        <w:t>ust</w:t>
      </w:r>
      <w:proofErr w:type="spellEnd"/>
      <w:r w:rsidR="00E431B0">
        <w:rPr>
          <w:rFonts w:ascii="Arial" w:hAnsi="Arial" w:cs="Arial"/>
          <w:spacing w:val="6"/>
          <w:sz w:val="22"/>
        </w:rPr>
        <w:t>. § 166 zákona č. 283/2021</w:t>
      </w:r>
      <w:r w:rsidR="00790B62" w:rsidRPr="00417180">
        <w:rPr>
          <w:rFonts w:ascii="Arial" w:hAnsi="Arial" w:cs="Arial"/>
          <w:spacing w:val="6"/>
          <w:sz w:val="22"/>
        </w:rPr>
        <w:t xml:space="preserve"> Sb., </w:t>
      </w:r>
      <w:r w:rsidR="00E431B0">
        <w:rPr>
          <w:rFonts w:ascii="Arial" w:hAnsi="Arial" w:cs="Arial"/>
          <w:spacing w:val="6"/>
          <w:sz w:val="22"/>
        </w:rPr>
        <w:t>stavební zákon,</w:t>
      </w:r>
      <w:r w:rsidR="00790B62" w:rsidRPr="00417180">
        <w:rPr>
          <w:rFonts w:ascii="Arial" w:hAnsi="Arial" w:cs="Arial"/>
          <w:spacing w:val="6"/>
          <w:sz w:val="22"/>
        </w:rPr>
        <w:t xml:space="preserve"> ve znění pozdějších předpisů, </w:t>
      </w:r>
      <w:r w:rsidR="00D763DB" w:rsidRPr="00417180">
        <w:rPr>
          <w:rFonts w:ascii="Arial" w:hAnsi="Arial" w:cs="Arial"/>
          <w:spacing w:val="6"/>
          <w:sz w:val="22"/>
        </w:rPr>
        <w:t>v souladu s</w:t>
      </w:r>
      <w:r w:rsidR="00D1691E" w:rsidRPr="00417180">
        <w:rPr>
          <w:rFonts w:ascii="Arial" w:hAnsi="Arial" w:cs="Arial"/>
          <w:spacing w:val="6"/>
          <w:sz w:val="22"/>
        </w:rPr>
        <w:t> </w:t>
      </w:r>
      <w:r w:rsidR="00E431B0" w:rsidRPr="009F2AB9">
        <w:rPr>
          <w:rFonts w:ascii="Arial" w:hAnsi="Arial" w:cs="Arial"/>
          <w:sz w:val="22"/>
        </w:rPr>
        <w:t>aktuálními právními předpisy</w:t>
      </w:r>
      <w:r w:rsidR="00D763DB" w:rsidRPr="00417180">
        <w:rPr>
          <w:rFonts w:ascii="Arial" w:hAnsi="Arial" w:cs="Arial"/>
          <w:spacing w:val="6"/>
          <w:sz w:val="22"/>
        </w:rPr>
        <w:t>.</w:t>
      </w:r>
      <w:r w:rsidR="006B1887" w:rsidRPr="00417180">
        <w:rPr>
          <w:rFonts w:ascii="Arial" w:hAnsi="Arial" w:cs="Arial"/>
          <w:spacing w:val="6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="002524E2">
        <w:rPr>
          <w:rFonts w:ascii="Arial" w:hAnsi="Arial" w:cs="Arial"/>
          <w:spacing w:val="-2"/>
          <w:sz w:val="22"/>
        </w:rPr>
        <w:t xml:space="preserve">a </w:t>
      </w:r>
      <w:r w:rsidR="00D70D20">
        <w:rPr>
          <w:rFonts w:ascii="Arial" w:hAnsi="Arial" w:cs="Arial"/>
          <w:sz w:val="22"/>
        </w:rPr>
        <w:t>poskytne</w:t>
      </w:r>
      <w:r w:rsidR="002524E2">
        <w:rPr>
          <w:rFonts w:ascii="Arial" w:hAnsi="Arial" w:cs="Arial"/>
          <w:sz w:val="22"/>
        </w:rPr>
        <w:t xml:space="preserve"> jej</w:t>
      </w:r>
      <w:r w:rsidR="00D70D20">
        <w:rPr>
          <w:rFonts w:ascii="Arial" w:hAnsi="Arial" w:cs="Arial"/>
          <w:sz w:val="22"/>
        </w:rPr>
        <w:t xml:space="preserve"> objednatel</w:t>
      </w:r>
      <w:r w:rsidR="008A009E">
        <w:rPr>
          <w:rFonts w:ascii="Arial" w:hAnsi="Arial" w:cs="Arial"/>
          <w:sz w:val="22"/>
        </w:rPr>
        <w:t>.</w:t>
      </w:r>
    </w:p>
    <w:p w14:paraId="65F924A7" w14:textId="6E36EC97" w:rsidR="00432BA1" w:rsidRPr="00417180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 w:rsidR="00417180"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 w:rsidR="00417180"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130C22FA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53A67CF4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51475F5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6B687E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1A8CA0E7" w:rsidR="00B101F2" w:rsidRDefault="00DE5A35" w:rsidP="00D657EE">
      <w:pPr>
        <w:overflowPunct w:val="0"/>
        <w:autoSpaceDE w:val="0"/>
        <w:autoSpaceDN w:val="0"/>
        <w:adjustRightInd w:val="0"/>
        <w:spacing w:line="264" w:lineRule="auto"/>
        <w:ind w:left="2836" w:hanging="2836"/>
        <w:jc w:val="both"/>
        <w:textAlignment w:val="baseline"/>
        <w:rPr>
          <w:rFonts w:ascii="Arial" w:hAnsi="Arial" w:cs="Arial"/>
        </w:rPr>
      </w:pPr>
      <w:r w:rsidRPr="004B2A02">
        <w:rPr>
          <w:rFonts w:ascii="Arial" w:hAnsi="Arial" w:cs="Arial"/>
        </w:rPr>
        <w:t>Dozor</w:t>
      </w:r>
      <w:r w:rsidR="00F77E11" w:rsidRPr="004B2A02">
        <w:rPr>
          <w:rFonts w:ascii="Arial" w:hAnsi="Arial" w:cs="Arial"/>
        </w:rPr>
        <w:t xml:space="preserve"> projektanta:</w:t>
      </w:r>
      <w:r w:rsidR="00F77E11" w:rsidRPr="004B2A02">
        <w:rPr>
          <w:rFonts w:ascii="Arial" w:hAnsi="Arial" w:cs="Arial"/>
        </w:rPr>
        <w:tab/>
      </w:r>
      <w:r w:rsidR="004B2A02">
        <w:rPr>
          <w:rFonts w:ascii="Arial" w:eastAsia="MS Mincho" w:hAnsi="Arial" w:cs="Arial"/>
          <w:spacing w:val="-6"/>
        </w:rPr>
        <w:t>Společnost</w:t>
      </w:r>
      <w:r w:rsidR="004B2A02" w:rsidRPr="004B2A02">
        <w:rPr>
          <w:rFonts w:ascii="Arial" w:eastAsia="MS Mincho" w:hAnsi="Arial" w:cs="Arial"/>
          <w:spacing w:val="-6"/>
        </w:rPr>
        <w:t xml:space="preserve"> „SHP + SHB – Velké Meziříčí“, Stráský, Hustý a partneři s.r.o., </w:t>
      </w:r>
      <w:r w:rsidR="00D657EE">
        <w:rPr>
          <w:rFonts w:ascii="Arial" w:eastAsia="MS Mincho" w:hAnsi="Arial" w:cs="Arial"/>
          <w:spacing w:val="-6"/>
        </w:rPr>
        <w:t xml:space="preserve">  </w:t>
      </w:r>
      <w:r w:rsidR="004B2A02" w:rsidRPr="004B2A02">
        <w:rPr>
          <w:rFonts w:ascii="Arial" w:eastAsia="MS Mincho" w:hAnsi="Arial" w:cs="Arial"/>
          <w:spacing w:val="-6"/>
        </w:rPr>
        <w:t>Bohunická 133/50, 619 00 Brno</w:t>
      </w:r>
      <w:r w:rsidR="004B2A02">
        <w:rPr>
          <w:rFonts w:ascii="Arial" w:eastAsia="MS Mincho" w:hAnsi="Arial" w:cs="Arial"/>
          <w:spacing w:val="-6"/>
        </w:rPr>
        <w:t>,</w:t>
      </w:r>
      <w:r w:rsidR="001F5490">
        <w:rPr>
          <w:rFonts w:ascii="Arial" w:hAnsi="Arial" w:cs="Arial"/>
        </w:rPr>
        <w:t xml:space="preserve"> </w:t>
      </w:r>
      <w:r w:rsidR="00B101F2">
        <w:rPr>
          <w:rFonts w:ascii="Arial" w:hAnsi="Arial" w:cs="Arial"/>
        </w:rPr>
        <w:t xml:space="preserve">IČO </w:t>
      </w:r>
      <w:r w:rsidR="004B2A02">
        <w:rPr>
          <w:rFonts w:ascii="Arial" w:hAnsi="Arial" w:cs="Arial"/>
        </w:rPr>
        <w:t>18827527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1C474441" w14:textId="77777777" w:rsidR="008730A0" w:rsidRPr="008730A0" w:rsidRDefault="008730A0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</w:p>
    <w:p w14:paraId="70B7AE38" w14:textId="77777777" w:rsidR="008730A0" w:rsidRPr="008730A0" w:rsidRDefault="008730A0" w:rsidP="008730A0">
      <w:pPr>
        <w:pStyle w:val="Bntext2"/>
        <w:tabs>
          <w:tab w:val="clear" w:pos="-1560"/>
        </w:tabs>
        <w:ind w:left="426"/>
      </w:pPr>
    </w:p>
    <w:p w14:paraId="27432D9A" w14:textId="72CE559F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6BCE6B5F" w:rsidR="00F77E11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68FA06F5" w14:textId="77777777" w:rsidR="0007708C" w:rsidRPr="009A50B9" w:rsidRDefault="0007708C" w:rsidP="0007708C">
      <w:pPr>
        <w:pStyle w:val="Bntext2"/>
        <w:tabs>
          <w:tab w:val="clear" w:pos="-1560"/>
        </w:tabs>
        <w:ind w:left="426"/>
      </w:pP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4D2C7DCC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D70D20">
        <w:rPr>
          <w:rFonts w:ascii="Arial" w:hAnsi="Arial" w:cs="Arial"/>
          <w:sz w:val="22"/>
        </w:rPr>
        <w:t>ESD</w:t>
      </w:r>
      <w:r w:rsidRPr="009A50B9">
        <w:rPr>
          <w:rFonts w:ascii="Arial" w:hAnsi="Arial" w:cs="Arial"/>
          <w:sz w:val="22"/>
        </w:rPr>
        <w:t>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3D480DA8" w14:textId="6974E61F" w:rsidR="008730A0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>týkající se místa, kde má být dílo provedeno, znemožňující</w:t>
      </w:r>
      <w:r w:rsidR="008730A0">
        <w:rPr>
          <w:rFonts w:ascii="Arial" w:hAnsi="Arial" w:cs="Arial"/>
          <w:sz w:val="22"/>
        </w:rPr>
        <w:t xml:space="preserve">  </w:t>
      </w:r>
      <w:r w:rsidR="005920E2" w:rsidRPr="009A50B9">
        <w:rPr>
          <w:rFonts w:ascii="Arial" w:hAnsi="Arial" w:cs="Arial"/>
          <w:sz w:val="22"/>
        </w:rPr>
        <w:t xml:space="preserve"> provést </w:t>
      </w:r>
      <w:r w:rsidR="008730A0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dílo </w:t>
      </w:r>
      <w:r w:rsidR="008730A0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dohodnutým </w:t>
      </w:r>
      <w:r w:rsidR="008730A0">
        <w:rPr>
          <w:rFonts w:ascii="Arial" w:hAnsi="Arial" w:cs="Arial"/>
          <w:sz w:val="22"/>
        </w:rPr>
        <w:t xml:space="preserve">  </w:t>
      </w:r>
      <w:r w:rsidR="005920E2" w:rsidRPr="009A50B9">
        <w:rPr>
          <w:rFonts w:ascii="Arial" w:hAnsi="Arial" w:cs="Arial"/>
          <w:sz w:val="22"/>
        </w:rPr>
        <w:t>způsobem,</w:t>
      </w:r>
      <w:r w:rsidR="008730A0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 je</w:t>
      </w:r>
      <w:r w:rsidR="008730A0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 povinen</w:t>
      </w:r>
      <w:r w:rsidR="008730A0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 to </w:t>
      </w:r>
      <w:r w:rsidR="008730A0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bez </w:t>
      </w:r>
      <w:r w:rsidR="008730A0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zbytečného </w:t>
      </w:r>
      <w:r w:rsidR="008730A0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odkladu </w:t>
      </w:r>
      <w:r w:rsidR="008730A0">
        <w:rPr>
          <w:rFonts w:ascii="Arial" w:hAnsi="Arial" w:cs="Arial"/>
          <w:sz w:val="22"/>
        </w:rPr>
        <w:t xml:space="preserve">  </w:t>
      </w:r>
      <w:r w:rsidR="005920E2" w:rsidRPr="009A50B9">
        <w:rPr>
          <w:rFonts w:ascii="Arial" w:hAnsi="Arial" w:cs="Arial"/>
          <w:sz w:val="22"/>
        </w:rPr>
        <w:t xml:space="preserve">oznámit </w:t>
      </w:r>
    </w:p>
    <w:p w14:paraId="5C2A6650" w14:textId="77777777" w:rsidR="008730A0" w:rsidRDefault="008730A0" w:rsidP="008730A0">
      <w:pPr>
        <w:pStyle w:val="Odstavecseseznamem"/>
        <w:rPr>
          <w:rFonts w:ascii="Arial" w:hAnsi="Arial" w:cs="Arial"/>
        </w:rPr>
      </w:pPr>
    </w:p>
    <w:p w14:paraId="31C117E0" w14:textId="77777777" w:rsidR="008730A0" w:rsidRDefault="008730A0" w:rsidP="008730A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5C99DF8" w14:textId="233E8D57" w:rsidR="00F77E11" w:rsidRPr="009A50B9" w:rsidRDefault="005920E2" w:rsidP="008730A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="00F77E11"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31E00EC1" w14:textId="77777777" w:rsidR="0007708C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</w:t>
      </w:r>
    </w:p>
    <w:p w14:paraId="57610978" w14:textId="122BB589" w:rsidR="00F77E11" w:rsidRPr="009A50B9" w:rsidRDefault="00F77E11" w:rsidP="0007708C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0F79E83A" w14:textId="77777777" w:rsidR="008730A0" w:rsidRDefault="008730A0" w:rsidP="008730A0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6FB3BDB5" w14:textId="77777777" w:rsidR="008730A0" w:rsidRPr="008730A0" w:rsidRDefault="008730A0" w:rsidP="008730A0">
      <w:pPr>
        <w:rPr>
          <w:rFonts w:ascii="Arial" w:hAnsi="Arial" w:cs="Arial"/>
          <w:color w:val="000000"/>
        </w:rPr>
      </w:pPr>
    </w:p>
    <w:p w14:paraId="58766872" w14:textId="6962D45D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068A49CE" w14:textId="77777777" w:rsidR="0007708C" w:rsidRPr="009A50B9" w:rsidRDefault="0007708C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1E69A5D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7CCC7E28" w14:textId="77777777" w:rsidR="006E70DB" w:rsidRPr="00152C50" w:rsidRDefault="006E70DB" w:rsidP="006E70D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ESD (dle odst. 7.1)</w:t>
      </w:r>
    </w:p>
    <w:p w14:paraId="0E7A6D2A" w14:textId="3B2D2E94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443DD5">
        <w:t>2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>CD</w:t>
      </w:r>
      <w:r w:rsidR="00086905">
        <w:t>E</w:t>
      </w:r>
      <w:r w:rsidR="0047371E" w:rsidRPr="00152C50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7198794D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443DD5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="00086905">
        <w:rPr>
          <w:spacing w:val="-6"/>
          <w:szCs w:val="22"/>
        </w:rPr>
        <w:t>E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6D329B1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</w:t>
      </w:r>
      <w:r w:rsidR="00086905">
        <w:rPr>
          <w:szCs w:val="22"/>
        </w:rPr>
        <w:t>E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35632FF2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67B2978E" w14:textId="10A15F4E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</w:t>
      </w:r>
      <w:r w:rsidR="00A362E3">
        <w:rPr>
          <w:szCs w:val="22"/>
        </w:rPr>
        <w:t>y a hlavní mostní prohlídky včetně dokladů</w:t>
      </w:r>
      <w:r w:rsidRPr="0024569C">
        <w:rPr>
          <w:szCs w:val="22"/>
        </w:rPr>
        <w:t xml:space="preserve"> o provedení zápisu do BMS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1D93A669" w14:textId="77777777" w:rsidR="008730A0" w:rsidRDefault="00FB20B9" w:rsidP="00F401E8">
      <w:pPr>
        <w:pStyle w:val="Bntext2"/>
        <w:tabs>
          <w:tab w:val="clear" w:pos="-1560"/>
        </w:tabs>
        <w:ind w:left="0"/>
        <w:rPr>
          <w:rFonts w:cs="Arial"/>
          <w:spacing w:val="-2"/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</w:p>
    <w:p w14:paraId="081174D2" w14:textId="77777777" w:rsidR="008730A0" w:rsidRDefault="008730A0" w:rsidP="00F401E8">
      <w:pPr>
        <w:pStyle w:val="Bntext2"/>
        <w:tabs>
          <w:tab w:val="clear" w:pos="-1560"/>
        </w:tabs>
        <w:ind w:left="0"/>
        <w:rPr>
          <w:rFonts w:cs="Arial"/>
          <w:spacing w:val="-2"/>
          <w:szCs w:val="22"/>
        </w:rPr>
      </w:pPr>
    </w:p>
    <w:p w14:paraId="7C8F7C83" w14:textId="77777777" w:rsidR="008730A0" w:rsidRDefault="008730A0" w:rsidP="00F401E8">
      <w:pPr>
        <w:pStyle w:val="Bntext2"/>
        <w:tabs>
          <w:tab w:val="clear" w:pos="-1560"/>
        </w:tabs>
        <w:ind w:left="0"/>
        <w:rPr>
          <w:rFonts w:cs="Arial"/>
          <w:spacing w:val="-2"/>
          <w:szCs w:val="22"/>
        </w:rPr>
      </w:pPr>
    </w:p>
    <w:p w14:paraId="7C08E8EA" w14:textId="186BD9CE" w:rsidR="00FB20B9" w:rsidRPr="00FB20B9" w:rsidRDefault="001E3CD2" w:rsidP="00F401E8">
      <w:pPr>
        <w:pStyle w:val="Bntext2"/>
        <w:tabs>
          <w:tab w:val="clear" w:pos="-1560"/>
        </w:tabs>
        <w:ind w:left="0"/>
        <w:rPr>
          <w:szCs w:val="22"/>
        </w:rPr>
      </w:pPr>
      <w:r>
        <w:rPr>
          <w:spacing w:val="4"/>
        </w:rPr>
        <w:t>prostřednictvím</w:t>
      </w:r>
      <w:r w:rsidR="00FB20B9" w:rsidRPr="00297268">
        <w:rPr>
          <w:rFonts w:cs="Arial"/>
          <w:spacing w:val="-2"/>
          <w:szCs w:val="22"/>
        </w:rPr>
        <w:t xml:space="preserve"> CD</w:t>
      </w:r>
      <w:r w:rsidR="00086905">
        <w:rPr>
          <w:rFonts w:cs="Arial"/>
          <w:spacing w:val="-2"/>
          <w:szCs w:val="22"/>
        </w:rPr>
        <w:t>E</w:t>
      </w:r>
      <w:r w:rsidR="00FB20B9"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FB957AF" w14:textId="77777777" w:rsidR="0007708C" w:rsidRDefault="0007708C" w:rsidP="00894F74">
      <w:pPr>
        <w:pStyle w:val="Odstavecseseznamem"/>
        <w:rPr>
          <w:rFonts w:ascii="Arial" w:hAnsi="Arial" w:cs="Arial"/>
        </w:rPr>
      </w:pPr>
    </w:p>
    <w:p w14:paraId="31FBD374" w14:textId="5F7FAA69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proofErr w:type="gramStart"/>
      <w:r w:rsidRPr="00894F74">
        <w:rPr>
          <w:rFonts w:ascii="Arial" w:hAnsi="Arial" w:cs="Arial"/>
        </w:rPr>
        <w:t>se vyhotovuje</w:t>
      </w:r>
      <w:proofErr w:type="gramEnd"/>
      <w:r w:rsidRPr="00894F74">
        <w:rPr>
          <w:rFonts w:ascii="Arial" w:hAnsi="Arial" w:cs="Arial"/>
        </w:rPr>
        <w:t xml:space="preserve"> s využitím stávajících údajů digitální technické mapy formou tzv. změnových vět. </w:t>
      </w:r>
    </w:p>
    <w:p w14:paraId="13CCCDB7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2FCACBD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50EF571" w14:textId="726D2C88" w:rsidR="008730A0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 nemá 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právo 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odmítnout převzetí </w:t>
      </w:r>
      <w:r w:rsidR="008730A0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stavby pro </w:t>
      </w:r>
    </w:p>
    <w:p w14:paraId="6377BFCA" w14:textId="77777777" w:rsidR="008730A0" w:rsidRDefault="008730A0" w:rsidP="008730A0">
      <w:pPr>
        <w:pStyle w:val="Odstavecseseznamem"/>
        <w:rPr>
          <w:rFonts w:ascii="Arial" w:hAnsi="Arial" w:cs="Arial"/>
        </w:rPr>
      </w:pPr>
    </w:p>
    <w:p w14:paraId="6F4F4D0A" w14:textId="77777777" w:rsidR="008730A0" w:rsidRDefault="008730A0" w:rsidP="008730A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A677DBA" w:rsidR="00BD2E38" w:rsidRPr="009A50B9" w:rsidRDefault="00BD2E38" w:rsidP="008730A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6DD7C0F9" w14:textId="77777777" w:rsidR="0007708C" w:rsidRDefault="0007708C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67432688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162A220D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214C198A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352ED0B" w:rsidR="002819AA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F5CC498" w14:textId="57215489" w:rsidR="00D87DA5" w:rsidRDefault="00D87DA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4B4F173" w14:textId="77777777" w:rsidR="00D87DA5" w:rsidRPr="009A50B9" w:rsidRDefault="00D87DA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</w:t>
      </w:r>
      <w:proofErr w:type="gramStart"/>
      <w:r>
        <w:rPr>
          <w:rFonts w:ascii="Arial" w:hAnsi="Arial" w:cs="Arial"/>
          <w:sz w:val="22"/>
        </w:rPr>
        <w:t>9.3.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60BA2FAF" w14:textId="77777777" w:rsidR="00EA3A77" w:rsidRPr="00EA3A77" w:rsidRDefault="00EA3A77" w:rsidP="00EA3A77">
      <w:pPr>
        <w:pStyle w:val="Odstavecseseznamem"/>
        <w:rPr>
          <w:rFonts w:ascii="Arial" w:hAnsi="Arial" w:cs="Arial"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F14CE3B" w14:textId="77777777" w:rsidR="00FB0EBB" w:rsidRDefault="00FB0EBB" w:rsidP="00FB0EBB">
      <w:pPr>
        <w:pStyle w:val="Odstavecseseznamem"/>
        <w:rPr>
          <w:rFonts w:ascii="Arial" w:hAnsi="Arial" w:cs="Arial"/>
          <w:spacing w:val="-6"/>
        </w:rPr>
      </w:pPr>
    </w:p>
    <w:p w14:paraId="557D8844" w14:textId="4968A3C3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00A30E15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74401BC4" w:rsidR="00F42FA4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5A761BD2" w14:textId="422490C8" w:rsidR="00FB0EBB" w:rsidRDefault="00FB0EBB" w:rsidP="00FB0EBB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</w:p>
    <w:p w14:paraId="0FD31623" w14:textId="77777777" w:rsidR="00FB0EBB" w:rsidRPr="00C46D09" w:rsidRDefault="00FB0EBB" w:rsidP="00FB0EBB">
      <w:pPr>
        <w:pStyle w:val="Zkladntextodsazen"/>
        <w:spacing w:after="120"/>
        <w:ind w:left="1276"/>
        <w:jc w:val="both"/>
        <w:rPr>
          <w:rFonts w:ascii="Arial" w:hAnsi="Arial"/>
          <w:sz w:val="22"/>
          <w:szCs w:val="24"/>
          <w:lang w:eastAsia="cs-CZ"/>
        </w:rPr>
      </w:pPr>
    </w:p>
    <w:p w14:paraId="7D717B6D" w14:textId="5E65A2FB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>Při prodlení zhotovitele s předáním</w:t>
      </w:r>
      <w:r w:rsidRPr="004C1F5F">
        <w:rPr>
          <w:rFonts w:ascii="Arial" w:hAnsi="Arial" w:cs="Arial"/>
          <w:sz w:val="22"/>
        </w:rPr>
        <w:t xml:space="preserve"> bankovní záruky za řádné zajištění závazků zhotovitele plynoucích z odpovědnosti za vady díla dle odst. </w:t>
      </w:r>
      <w:proofErr w:type="gramStart"/>
      <w:r w:rsidRPr="004C1F5F">
        <w:rPr>
          <w:rFonts w:ascii="Arial" w:hAnsi="Arial" w:cs="Arial"/>
          <w:sz w:val="22"/>
        </w:rPr>
        <w:t>12.</w:t>
      </w:r>
      <w:r w:rsidR="000B4698">
        <w:rPr>
          <w:rFonts w:ascii="Arial" w:hAnsi="Arial" w:cs="Arial"/>
          <w:sz w:val="22"/>
        </w:rPr>
        <w:t>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>zaplatí</w:t>
      </w:r>
      <w:proofErr w:type="gramEnd"/>
      <w:r w:rsidRPr="004C1F5F">
        <w:rPr>
          <w:rFonts w:ascii="Arial" w:hAnsi="Arial"/>
          <w:sz w:val="22"/>
          <w:szCs w:val="24"/>
          <w:lang w:eastAsia="cs-CZ"/>
        </w:rPr>
        <w:t xml:space="preserve"> zhotovitel objednateli </w:t>
      </w:r>
      <w:r w:rsidRPr="004C1F5F">
        <w:rPr>
          <w:rFonts w:ascii="Arial" w:hAnsi="Arial"/>
          <w:sz w:val="22"/>
        </w:rPr>
        <w:t>smluvní pokutu ve výši 0,</w:t>
      </w:r>
      <w:r w:rsidR="000B4698">
        <w:rPr>
          <w:rFonts w:ascii="Arial" w:hAnsi="Arial"/>
          <w:sz w:val="22"/>
        </w:rPr>
        <w:t>0</w:t>
      </w:r>
      <w:r w:rsidRPr="004C1F5F">
        <w:rPr>
          <w:rFonts w:ascii="Arial" w:hAnsi="Arial"/>
          <w:sz w:val="22"/>
        </w:rPr>
        <w:t>1 % z ceny díla sjednané touto smlouvou, a to za každý i započatý den tohoto prodlení.</w:t>
      </w:r>
    </w:p>
    <w:p w14:paraId="1848CBA6" w14:textId="77777777" w:rsidR="002470C4" w:rsidRDefault="002470C4" w:rsidP="002470C4">
      <w:pPr>
        <w:pStyle w:val="Zkladntextodsazen"/>
        <w:jc w:val="both"/>
        <w:rPr>
          <w:rFonts w:ascii="Arial" w:hAnsi="Arial" w:cs="Arial"/>
          <w:sz w:val="22"/>
        </w:rPr>
      </w:pPr>
    </w:p>
    <w:p w14:paraId="0598EF26" w14:textId="4C3E978D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73D9BA3A" w14:textId="77777777" w:rsidR="0007708C" w:rsidRDefault="0007708C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1627649C" w14:textId="7E30BEEA" w:rsidR="00FD0CE9" w:rsidRPr="00FD0CE9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z odpovědnosti za vady díla ve </w:t>
      </w:r>
      <w:r w:rsidRPr="00804F8A">
        <w:rPr>
          <w:rFonts w:ascii="Arial" w:hAnsi="Arial" w:cs="Arial"/>
        </w:rPr>
        <w:t xml:space="preserve">výši </w:t>
      </w:r>
      <w:r w:rsidR="00804F8A" w:rsidRPr="00804F8A">
        <w:rPr>
          <w:rFonts w:ascii="Arial" w:hAnsi="Arial" w:cs="Arial"/>
        </w:rPr>
        <w:t>4</w:t>
      </w:r>
      <w:r w:rsidRPr="00804F8A">
        <w:rPr>
          <w:rFonts w:ascii="Arial" w:hAnsi="Arial" w:cs="Arial"/>
        </w:rPr>
        <w:t xml:space="preserve"> </w:t>
      </w:r>
      <w:r w:rsidR="00804F8A" w:rsidRPr="00804F8A">
        <w:rPr>
          <w:rFonts w:ascii="Arial" w:hAnsi="Arial" w:cs="Arial"/>
        </w:rPr>
        <w:t>9</w:t>
      </w:r>
      <w:r w:rsidRPr="00804F8A">
        <w:rPr>
          <w:rFonts w:ascii="Arial" w:hAnsi="Arial" w:cs="Arial"/>
        </w:rPr>
        <w:t>00 000</w:t>
      </w:r>
      <w:r w:rsidRPr="00FD0CE9">
        <w:rPr>
          <w:rFonts w:ascii="Arial" w:hAnsi="Arial" w:cs="Arial"/>
        </w:rPr>
        <w:t xml:space="preserve"> Kč platnou po dobu záruky na stavební část díla dle odst. </w:t>
      </w:r>
      <w:proofErr w:type="gramStart"/>
      <w:r w:rsidRPr="00FD0CE9">
        <w:rPr>
          <w:rFonts w:ascii="Arial" w:hAnsi="Arial" w:cs="Arial"/>
        </w:rPr>
        <w:t>9.2</w:t>
      </w:r>
      <w:proofErr w:type="gramEnd"/>
      <w:r w:rsidRPr="00FD0CE9">
        <w:rPr>
          <w:rFonts w:ascii="Arial" w:hAnsi="Arial" w:cs="Arial"/>
        </w:rPr>
        <w:t>. a  9.3.  této smlouvy a bude mít shodnou platnost 60 měsíců.  Na prodlouženou záruku na mostní izolace (60  - 120 měsíců) není bankovní záruka již požadována. Stejně tak nebude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004B6741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6FE2BF17" w14:textId="5249CFBC" w:rsidR="00FB0EBB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</w:t>
      </w:r>
      <w:r w:rsidR="00C51F96">
        <w:rPr>
          <w:rFonts w:ascii="Arial" w:hAnsi="Arial" w:cs="Arial"/>
          <w:spacing w:val="2"/>
        </w:rPr>
        <w:t>1</w:t>
      </w:r>
      <w:r w:rsidRPr="00404D42">
        <w:rPr>
          <w:rFonts w:ascii="Arial" w:hAnsi="Arial" w:cs="Arial"/>
          <w:spacing w:val="2"/>
        </w:rPr>
        <w:t>.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</w:t>
      </w:r>
      <w:r w:rsidR="00FB0EBB">
        <w:rPr>
          <w:rFonts w:ascii="Arial" w:hAnsi="Arial" w:cs="Arial"/>
        </w:rPr>
        <w:t xml:space="preserve"> </w:t>
      </w:r>
      <w:r w:rsidRPr="00404D42">
        <w:rPr>
          <w:rFonts w:ascii="Arial" w:hAnsi="Arial" w:cs="Arial"/>
        </w:rPr>
        <w:t xml:space="preserve">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</w:t>
      </w:r>
    </w:p>
    <w:p w14:paraId="116C34FC" w14:textId="77777777" w:rsidR="00FB0EBB" w:rsidRDefault="00FB0EBB" w:rsidP="00FB0EBB">
      <w:pPr>
        <w:pStyle w:val="Odstavecseseznamem"/>
        <w:rPr>
          <w:rFonts w:ascii="Arial" w:hAnsi="Arial" w:cs="Arial"/>
        </w:rPr>
      </w:pPr>
    </w:p>
    <w:p w14:paraId="67C4CD07" w14:textId="5664B0E2" w:rsidR="00FD0CE9" w:rsidRPr="00277716" w:rsidRDefault="00FD0CE9" w:rsidP="00FB0EBB">
      <w:pPr>
        <w:tabs>
          <w:tab w:val="num" w:pos="1776"/>
        </w:tabs>
        <w:jc w:val="both"/>
        <w:rPr>
          <w:rFonts w:ascii="Arial" w:hAnsi="Arial" w:cs="Arial"/>
        </w:rPr>
      </w:pPr>
      <w:r w:rsidRPr="00277716">
        <w:rPr>
          <w:rFonts w:ascii="Arial" w:hAnsi="Arial" w:cs="Arial"/>
        </w:rPr>
        <w:t xml:space="preserve">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07B0DF82" w14:textId="312F712A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168B244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9BA1330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27EFEC9" w14:textId="64070328" w:rsidR="00FB0EBB" w:rsidRDefault="00FB0EBB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C110851" w14:textId="77777777" w:rsidR="00FB0EBB" w:rsidRDefault="00FB0EBB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D9E72AA" w14:textId="7DFE1DF5" w:rsidR="002470C4" w:rsidRPr="002470C4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</w:t>
      </w:r>
      <w:r w:rsidR="002470C4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díla </w:t>
      </w:r>
      <w:r w:rsidR="002470C4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neshodnou, </w:t>
      </w:r>
      <w:r w:rsidR="002470C4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nechají </w:t>
      </w:r>
      <w:r w:rsidR="002470C4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vypracovat</w:t>
      </w:r>
      <w:r w:rsidR="002470C4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 příslušný </w:t>
      </w:r>
      <w:r w:rsidR="002470C4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znalecký</w:t>
      </w:r>
      <w:r w:rsidR="002470C4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 posudek </w:t>
      </w:r>
    </w:p>
    <w:p w14:paraId="2593353D" w14:textId="2624675F" w:rsidR="00F77E11" w:rsidRPr="00D3377A" w:rsidRDefault="00F77E11" w:rsidP="002470C4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6632AB13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3656E74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78D81FD" w14:textId="6809893F" w:rsidR="00FB0EBB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</w:t>
      </w:r>
      <w:r w:rsidR="00D87DA5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veřejné</w:t>
      </w:r>
      <w:r w:rsidR="00D87DA5">
        <w:rPr>
          <w:rFonts w:ascii="Arial" w:hAnsi="Arial" w:cs="Arial"/>
          <w:sz w:val="22"/>
        </w:rPr>
        <w:t xml:space="preserve"> </w:t>
      </w:r>
      <w:bookmarkStart w:id="1" w:name="_GoBack"/>
      <w:bookmarkEnd w:id="1"/>
      <w:r w:rsidRPr="009A50B9">
        <w:rPr>
          <w:rFonts w:ascii="Arial" w:hAnsi="Arial" w:cs="Arial"/>
          <w:sz w:val="22"/>
        </w:rPr>
        <w:t xml:space="preserve"> zakázky, </w:t>
      </w:r>
    </w:p>
    <w:p w14:paraId="1CEF6EBE" w14:textId="77777777" w:rsidR="00FB0EBB" w:rsidRDefault="00FB0EBB" w:rsidP="00FB0EBB">
      <w:pPr>
        <w:pStyle w:val="Odstavecseseznamem"/>
        <w:rPr>
          <w:rFonts w:ascii="Arial" w:hAnsi="Arial" w:cs="Arial"/>
        </w:rPr>
      </w:pPr>
    </w:p>
    <w:p w14:paraId="44F9D6DB" w14:textId="77777777" w:rsidR="00D87DA5" w:rsidRDefault="00D87DA5" w:rsidP="00FB0EBB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562E3025" w:rsidR="00005B39" w:rsidRPr="009A50B9" w:rsidRDefault="00005B39" w:rsidP="00FB0EBB">
      <w:pPr>
        <w:pStyle w:val="Zkladntextodsazen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1EF80C42" w14:textId="77777777" w:rsidR="0007708C" w:rsidRDefault="0007708C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03BFAF3B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ED2D9E2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78AD5726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CF54644" w14:textId="5B79899C" w:rsidR="00FB0EBB" w:rsidRDefault="00FB0EBB">
      <w:pPr>
        <w:pStyle w:val="Zkladntextodsazen"/>
        <w:jc w:val="both"/>
        <w:rPr>
          <w:rFonts w:ascii="Arial" w:hAnsi="Arial" w:cs="Arial"/>
          <w:sz w:val="22"/>
        </w:rPr>
      </w:pPr>
    </w:p>
    <w:p w14:paraId="60A104FB" w14:textId="77777777" w:rsidR="00FB0EBB" w:rsidRDefault="00FB0EBB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496C02C5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4FB31B6E" w14:textId="34B220C7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7A4A701A" w14:textId="1BD8D142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4965E239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6EF429CB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27F43514" w14:textId="344E4E2E" w:rsidR="00275F33" w:rsidRDefault="00275F33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4660208F" w14:textId="6256A826" w:rsidR="00275F33" w:rsidRPr="00275F33" w:rsidRDefault="00275F33" w:rsidP="00275F33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275F33">
        <w:rPr>
          <w:rFonts w:ascii="Arial" w:hAnsi="Arial" w:cs="Arial"/>
          <w:sz w:val="22"/>
        </w:rPr>
        <w:t xml:space="preserve">Výběr </w:t>
      </w:r>
      <w:r w:rsidR="004E48B8">
        <w:rPr>
          <w:rFonts w:ascii="Arial" w:hAnsi="Arial" w:cs="Arial"/>
          <w:sz w:val="22"/>
        </w:rPr>
        <w:t>zhotovite</w:t>
      </w:r>
      <w:r w:rsidRPr="00275F33">
        <w:rPr>
          <w:rFonts w:ascii="Arial" w:hAnsi="Arial" w:cs="Arial"/>
          <w:sz w:val="22"/>
        </w:rPr>
        <w:t xml:space="preserve">le byl proveden v souladu s Pravidly Rady Kraje Vysočina pro zadávání veřejných zakázek ze dne </w:t>
      </w:r>
      <w:r w:rsidR="00FA30AF">
        <w:rPr>
          <w:rFonts w:ascii="Arial" w:hAnsi="Arial" w:cs="Arial"/>
          <w:sz w:val="22"/>
        </w:rPr>
        <w:t>7</w:t>
      </w:r>
      <w:r w:rsidRPr="00275F33">
        <w:rPr>
          <w:rFonts w:ascii="Arial" w:hAnsi="Arial" w:cs="Arial"/>
          <w:sz w:val="22"/>
        </w:rPr>
        <w:t xml:space="preserve">. </w:t>
      </w:r>
      <w:r w:rsidR="00FA30AF">
        <w:rPr>
          <w:rFonts w:ascii="Arial" w:hAnsi="Arial" w:cs="Arial"/>
          <w:sz w:val="22"/>
        </w:rPr>
        <w:t>4</w:t>
      </w:r>
      <w:r w:rsidRPr="00275F33">
        <w:rPr>
          <w:rFonts w:ascii="Arial" w:hAnsi="Arial" w:cs="Arial"/>
          <w:sz w:val="22"/>
        </w:rPr>
        <w:t>. 202</w:t>
      </w:r>
      <w:r w:rsidR="00FA30AF">
        <w:rPr>
          <w:rFonts w:ascii="Arial" w:hAnsi="Arial" w:cs="Arial"/>
          <w:sz w:val="22"/>
        </w:rPr>
        <w:t>5</w:t>
      </w:r>
      <w:r w:rsidRPr="00275F33">
        <w:rPr>
          <w:rFonts w:ascii="Arial" w:hAnsi="Arial" w:cs="Arial"/>
          <w:sz w:val="22"/>
        </w:rPr>
        <w:t>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6DE31116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64343610" w14:textId="77777777" w:rsidR="00FB0EBB" w:rsidRDefault="00FB0EBB" w:rsidP="00FB0EBB">
      <w:pPr>
        <w:pStyle w:val="Odstavecseseznamem"/>
        <w:rPr>
          <w:rFonts w:ascii="Arial" w:hAnsi="Arial" w:cs="Arial"/>
        </w:rPr>
      </w:pPr>
    </w:p>
    <w:p w14:paraId="3B137287" w14:textId="77777777" w:rsidR="00FB0EBB" w:rsidRPr="009A50B9" w:rsidRDefault="00FB0EBB" w:rsidP="00FB0EBB">
      <w:pPr>
        <w:pStyle w:val="Zkladntextodsazen"/>
        <w:jc w:val="both"/>
        <w:rPr>
          <w:rFonts w:ascii="Arial" w:hAnsi="Arial" w:cs="Arial"/>
          <w:sz w:val="22"/>
        </w:rPr>
      </w:pP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639E9E9F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>ceněn</w:t>
      </w:r>
      <w:r w:rsidR="00563E07">
        <w:rPr>
          <w:rFonts w:ascii="Arial" w:hAnsi="Arial" w:cs="Arial"/>
          <w:sz w:val="22"/>
        </w:rPr>
        <w:t>é</w:t>
      </w:r>
      <w:r w:rsidRPr="009A50B9">
        <w:rPr>
          <w:rFonts w:ascii="Arial" w:hAnsi="Arial" w:cs="Arial"/>
          <w:sz w:val="22"/>
        </w:rPr>
        <w:t xml:space="preserve"> </w:t>
      </w:r>
      <w:r w:rsidR="00213ECB" w:rsidRPr="009A50B9">
        <w:rPr>
          <w:rFonts w:ascii="Arial" w:hAnsi="Arial" w:cs="Arial"/>
          <w:sz w:val="22"/>
        </w:rPr>
        <w:t>soupis</w:t>
      </w:r>
      <w:r w:rsidR="00563E07">
        <w:rPr>
          <w:rFonts w:ascii="Arial" w:hAnsi="Arial" w:cs="Arial"/>
          <w:sz w:val="22"/>
        </w:rPr>
        <w:t>y</w:t>
      </w:r>
      <w:r w:rsidR="00213ECB" w:rsidRPr="009A50B9">
        <w:rPr>
          <w:rFonts w:ascii="Arial" w:hAnsi="Arial" w:cs="Arial"/>
          <w:sz w:val="22"/>
        </w:rPr>
        <w:t xml:space="preserve"> prací</w:t>
      </w:r>
      <w:r w:rsidR="00563E07">
        <w:rPr>
          <w:rFonts w:ascii="Arial" w:hAnsi="Arial" w:cs="Arial"/>
          <w:sz w:val="22"/>
        </w:rPr>
        <w:t xml:space="preserve"> pro 1. část a 2. část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15EE5261" w14:textId="01D6726F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AF0BC5B" w14:textId="77777777" w:rsidR="00FB0EBB" w:rsidRDefault="00FB0EBB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7DB2DD7B" w:rsidR="00AD046E" w:rsidRPr="002E3BF5" w:rsidRDefault="00A4035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  <w:highlight w:val="yellow"/>
        </w:rPr>
      </w:pPr>
      <w:r>
        <w:rPr>
          <w:rFonts w:ascii="Arial" w:eastAsia="MS Mincho" w:hAnsi="Arial" w:cs="Arial"/>
        </w:rPr>
        <w:t>Ing. Vladimír Novotný</w:t>
      </w:r>
    </w:p>
    <w:p w14:paraId="7C9AAADF" w14:textId="546E44FF" w:rsidR="004A207C" w:rsidRPr="00DC166F" w:rsidRDefault="00A4035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A40357">
        <w:rPr>
          <w:rFonts w:ascii="Arial" w:eastAsia="MS Mincho" w:hAnsi="Arial" w:cs="Arial"/>
        </w:rPr>
        <w:t xml:space="preserve">2. </w:t>
      </w:r>
      <w:r w:rsidR="00AD046E" w:rsidRPr="00A40357">
        <w:rPr>
          <w:rFonts w:ascii="Arial" w:eastAsia="MS Mincho" w:hAnsi="Arial" w:cs="Arial"/>
        </w:rPr>
        <w:t>náměstek hejtmana</w:t>
      </w:r>
    </w:p>
    <w:sectPr w:rsidR="004A207C" w:rsidRPr="00DC166F" w:rsidSect="00101FD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4A680" w14:textId="77777777" w:rsidR="008730A0" w:rsidRDefault="008730A0">
      <w:r>
        <w:separator/>
      </w:r>
    </w:p>
  </w:endnote>
  <w:endnote w:type="continuationSeparator" w:id="0">
    <w:p w14:paraId="5537FD49" w14:textId="77777777" w:rsidR="008730A0" w:rsidRDefault="0087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8730A0" w:rsidRDefault="008730A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8730A0" w:rsidRDefault="008730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0A23992C" w:rsidR="008730A0" w:rsidRDefault="008730A0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87DA5">
      <w:rPr>
        <w:rFonts w:ascii="Arial" w:hAnsi="Arial" w:cs="Arial"/>
        <w:noProof/>
      </w:rPr>
      <w:t>26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87DA5">
      <w:rPr>
        <w:rFonts w:ascii="Arial" w:hAnsi="Arial" w:cs="Arial"/>
        <w:noProof/>
      </w:rPr>
      <w:t>26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6CCB8C91" w:rsidR="008730A0" w:rsidRDefault="008730A0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150DFC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150DFC">
      <w:rPr>
        <w:rFonts w:ascii="Arial" w:hAnsi="Arial" w:cs="Arial"/>
        <w:noProof/>
      </w:rPr>
      <w:t>26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DAAA9" w14:textId="77777777" w:rsidR="008730A0" w:rsidRDefault="008730A0">
      <w:r>
        <w:separator/>
      </w:r>
    </w:p>
  </w:footnote>
  <w:footnote w:type="continuationSeparator" w:id="0">
    <w:p w14:paraId="4A4421E5" w14:textId="77777777" w:rsidR="008730A0" w:rsidRDefault="00873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9B37D" w14:textId="77777777" w:rsidR="008730A0" w:rsidRDefault="008730A0" w:rsidP="00101FD6">
    <w:pPr>
      <w:pStyle w:val="Zhlav"/>
      <w:jc w:val="center"/>
    </w:pPr>
  </w:p>
  <w:p w14:paraId="4224F263" w14:textId="1E871644" w:rsidR="008730A0" w:rsidRDefault="008730A0" w:rsidP="00101FD6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3A97EE" wp14:editId="23E34A9F">
          <wp:extent cx="2114550" cy="71036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147AD" w14:textId="20932CEB" w:rsidR="008730A0" w:rsidRDefault="008730A0" w:rsidP="00101FD6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noProof/>
        <w:lang w:eastAsia="cs-CZ"/>
      </w:rPr>
      <w:drawing>
        <wp:inline distT="0" distB="0" distL="0" distR="0" wp14:anchorId="492EFC6D" wp14:editId="2A96BF42">
          <wp:extent cx="2114550" cy="710369"/>
          <wp:effectExtent l="0" t="0" r="0" b="0"/>
          <wp:docPr id="40" name="Obráze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barv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0125" cy="732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D9DC65" w14:textId="77777777" w:rsidR="008730A0" w:rsidRDefault="008730A0">
    <w:pPr>
      <w:pStyle w:val="Zhlav"/>
      <w:rPr>
        <w:rFonts w:ascii="Arial" w:hAnsi="Arial" w:cs="Arial"/>
        <w:i/>
        <w:sz w:val="20"/>
        <w:szCs w:val="20"/>
      </w:rPr>
    </w:pPr>
  </w:p>
  <w:p w14:paraId="4859A6FF" w14:textId="42AB2235" w:rsidR="008730A0" w:rsidRPr="00BB2481" w:rsidRDefault="008730A0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8730A0" w:rsidRPr="00BB2481" w:rsidRDefault="008730A0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8730A0" w:rsidRDefault="008730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4F84A75"/>
    <w:multiLevelType w:val="hybridMultilevel"/>
    <w:tmpl w:val="50600840"/>
    <w:lvl w:ilvl="0" w:tplc="DDB27C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color w:val="C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6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7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0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7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9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8"/>
  </w:num>
  <w:num w:numId="6">
    <w:abstractNumId w:val="3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1"/>
  </w:num>
  <w:num w:numId="8">
    <w:abstractNumId w:val="37"/>
  </w:num>
  <w:num w:numId="9">
    <w:abstractNumId w:val="40"/>
  </w:num>
  <w:num w:numId="10">
    <w:abstractNumId w:val="54"/>
  </w:num>
  <w:num w:numId="11">
    <w:abstractNumId w:val="47"/>
  </w:num>
  <w:num w:numId="12">
    <w:abstractNumId w:val="16"/>
  </w:num>
  <w:num w:numId="13">
    <w:abstractNumId w:val="32"/>
  </w:num>
  <w:num w:numId="14">
    <w:abstractNumId w:val="55"/>
  </w:num>
  <w:num w:numId="15">
    <w:abstractNumId w:val="22"/>
  </w:num>
  <w:num w:numId="16">
    <w:abstractNumId w:val="34"/>
  </w:num>
  <w:num w:numId="17">
    <w:abstractNumId w:val="28"/>
  </w:num>
  <w:num w:numId="18">
    <w:abstractNumId w:val="45"/>
  </w:num>
  <w:num w:numId="19">
    <w:abstractNumId w:val="49"/>
  </w:num>
  <w:num w:numId="20">
    <w:abstractNumId w:val="34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3"/>
  </w:num>
  <w:num w:numId="22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1"/>
  </w:num>
  <w:num w:numId="25">
    <w:abstractNumId w:val="57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53"/>
  </w:num>
  <w:num w:numId="29">
    <w:abstractNumId w:val="31"/>
  </w:num>
  <w:num w:numId="30">
    <w:abstractNumId w:val="26"/>
  </w:num>
  <w:num w:numId="31">
    <w:abstractNumId w:val="36"/>
  </w:num>
  <w:num w:numId="32">
    <w:abstractNumId w:val="42"/>
  </w:num>
  <w:num w:numId="33">
    <w:abstractNumId w:val="59"/>
  </w:num>
  <w:num w:numId="34">
    <w:abstractNumId w:val="29"/>
  </w:num>
  <w:num w:numId="35">
    <w:abstractNumId w:val="38"/>
  </w:num>
  <w:num w:numId="36">
    <w:abstractNumId w:val="58"/>
  </w:num>
  <w:num w:numId="37">
    <w:abstractNumId w:val="20"/>
  </w:num>
  <w:num w:numId="38">
    <w:abstractNumId w:val="56"/>
  </w:num>
  <w:num w:numId="39">
    <w:abstractNumId w:val="44"/>
  </w:num>
  <w:num w:numId="40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32"/>
  </w:num>
  <w:num w:numId="43">
    <w:abstractNumId w:val="32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0"/>
  </w:num>
  <w:num w:numId="46">
    <w:abstractNumId w:val="24"/>
  </w:num>
  <w:num w:numId="47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5C8E"/>
    <w:rsid w:val="00006E2B"/>
    <w:rsid w:val="000072FE"/>
    <w:rsid w:val="00010E70"/>
    <w:rsid w:val="00011655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7708C"/>
    <w:rsid w:val="00081947"/>
    <w:rsid w:val="000837A0"/>
    <w:rsid w:val="000851F6"/>
    <w:rsid w:val="00086905"/>
    <w:rsid w:val="00086B12"/>
    <w:rsid w:val="0008725A"/>
    <w:rsid w:val="00091BA4"/>
    <w:rsid w:val="000934AE"/>
    <w:rsid w:val="000941BC"/>
    <w:rsid w:val="00095BEC"/>
    <w:rsid w:val="00095DDD"/>
    <w:rsid w:val="000961EC"/>
    <w:rsid w:val="000971E4"/>
    <w:rsid w:val="000A314D"/>
    <w:rsid w:val="000A5D82"/>
    <w:rsid w:val="000A6460"/>
    <w:rsid w:val="000A7F63"/>
    <w:rsid w:val="000B0087"/>
    <w:rsid w:val="000B1A1E"/>
    <w:rsid w:val="000B1B1F"/>
    <w:rsid w:val="000B43F0"/>
    <w:rsid w:val="000B4698"/>
    <w:rsid w:val="000B67A4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1FD6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0DFC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288F"/>
    <w:rsid w:val="0016503F"/>
    <w:rsid w:val="00166CD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44FA"/>
    <w:rsid w:val="00185D51"/>
    <w:rsid w:val="00186C03"/>
    <w:rsid w:val="0019010B"/>
    <w:rsid w:val="0019053A"/>
    <w:rsid w:val="0019368D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2593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0C4"/>
    <w:rsid w:val="00247A30"/>
    <w:rsid w:val="002502A6"/>
    <w:rsid w:val="002521BC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8EB"/>
    <w:rsid w:val="00263DFC"/>
    <w:rsid w:val="00264EF8"/>
    <w:rsid w:val="00265EDA"/>
    <w:rsid w:val="00273A31"/>
    <w:rsid w:val="00274E01"/>
    <w:rsid w:val="00275D70"/>
    <w:rsid w:val="00275F33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3BF5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5C90"/>
    <w:rsid w:val="00316D86"/>
    <w:rsid w:val="00316E29"/>
    <w:rsid w:val="003204B6"/>
    <w:rsid w:val="003207DC"/>
    <w:rsid w:val="00321091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50CB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0C5C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2A02"/>
    <w:rsid w:val="004B395F"/>
    <w:rsid w:val="004B405A"/>
    <w:rsid w:val="004B6840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48B8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36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50EE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3E07"/>
    <w:rsid w:val="00564E70"/>
    <w:rsid w:val="00566C58"/>
    <w:rsid w:val="00570C4F"/>
    <w:rsid w:val="00570D7E"/>
    <w:rsid w:val="0057227D"/>
    <w:rsid w:val="00574BF2"/>
    <w:rsid w:val="005754C9"/>
    <w:rsid w:val="00580B6F"/>
    <w:rsid w:val="00580C94"/>
    <w:rsid w:val="00581643"/>
    <w:rsid w:val="00582498"/>
    <w:rsid w:val="00582687"/>
    <w:rsid w:val="0058373D"/>
    <w:rsid w:val="00583DE2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42FF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107D"/>
    <w:rsid w:val="00642359"/>
    <w:rsid w:val="00642799"/>
    <w:rsid w:val="006438C9"/>
    <w:rsid w:val="0064469E"/>
    <w:rsid w:val="006451D3"/>
    <w:rsid w:val="00647A61"/>
    <w:rsid w:val="00650800"/>
    <w:rsid w:val="00650DD6"/>
    <w:rsid w:val="00652A4C"/>
    <w:rsid w:val="00652BB4"/>
    <w:rsid w:val="0065515A"/>
    <w:rsid w:val="00655BE6"/>
    <w:rsid w:val="006560BA"/>
    <w:rsid w:val="00661F3C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0DB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3F7F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4F8A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517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0A0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A0D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18BE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189F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362E3"/>
    <w:rsid w:val="00A4035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327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5A51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961"/>
    <w:rsid w:val="00AF208A"/>
    <w:rsid w:val="00AF2476"/>
    <w:rsid w:val="00AF3A69"/>
    <w:rsid w:val="00AF59BF"/>
    <w:rsid w:val="00AF5B85"/>
    <w:rsid w:val="00AF68E8"/>
    <w:rsid w:val="00B0051D"/>
    <w:rsid w:val="00B01C10"/>
    <w:rsid w:val="00B02502"/>
    <w:rsid w:val="00B039AC"/>
    <w:rsid w:val="00B05039"/>
    <w:rsid w:val="00B05FB1"/>
    <w:rsid w:val="00B06B63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08E9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07A12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60F0"/>
    <w:rsid w:val="00C4054A"/>
    <w:rsid w:val="00C43157"/>
    <w:rsid w:val="00C43535"/>
    <w:rsid w:val="00C44471"/>
    <w:rsid w:val="00C46D09"/>
    <w:rsid w:val="00C51254"/>
    <w:rsid w:val="00C51F96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362E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1F06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57EE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87DA5"/>
    <w:rsid w:val="00D938B0"/>
    <w:rsid w:val="00D968B1"/>
    <w:rsid w:val="00D96E79"/>
    <w:rsid w:val="00D97012"/>
    <w:rsid w:val="00D97634"/>
    <w:rsid w:val="00DB2B1C"/>
    <w:rsid w:val="00DB368D"/>
    <w:rsid w:val="00DB3AB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57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9B9"/>
    <w:rsid w:val="00E604F6"/>
    <w:rsid w:val="00E60C6C"/>
    <w:rsid w:val="00E63013"/>
    <w:rsid w:val="00E642CB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D4A75"/>
    <w:rsid w:val="00ED578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07"/>
    <w:rsid w:val="00F275DF"/>
    <w:rsid w:val="00F27B7A"/>
    <w:rsid w:val="00F30041"/>
    <w:rsid w:val="00F30C82"/>
    <w:rsid w:val="00F3206A"/>
    <w:rsid w:val="00F401E8"/>
    <w:rsid w:val="00F41932"/>
    <w:rsid w:val="00F420DB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0AF"/>
    <w:rsid w:val="00FA3EF4"/>
    <w:rsid w:val="00FA4E74"/>
    <w:rsid w:val="00FA570A"/>
    <w:rsid w:val="00FA58DB"/>
    <w:rsid w:val="00FA59C6"/>
    <w:rsid w:val="00FA7493"/>
    <w:rsid w:val="00FA74CD"/>
    <w:rsid w:val="00FB0AD9"/>
    <w:rsid w:val="00FB0EBB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2437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ED0A7-2AD0-4ECC-8CEB-7B0CA7E31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26</Pages>
  <Words>10453</Words>
  <Characters>61674</Characters>
  <Application>Microsoft Office Word</Application>
  <DocSecurity>0</DocSecurity>
  <Lines>513</Lines>
  <Paragraphs>143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133</cp:revision>
  <cp:lastPrinted>2021-01-28T06:21:00Z</cp:lastPrinted>
  <dcterms:created xsi:type="dcterms:W3CDTF">2021-01-28T06:15:00Z</dcterms:created>
  <dcterms:modified xsi:type="dcterms:W3CDTF">2025-09-15T13:46:00Z</dcterms:modified>
</cp:coreProperties>
</file>